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86R22518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Thompson of Harris, Longoria,</w:t>
      </w:r>
      <w:r xml:space="preserve">
        <w:tab wTab="150" tlc="none" cTlc="0"/>
      </w:r>
      <w:r>
        <w:t xml:space="preserve">H.B.</w:t>
      </w:r>
      <w:r xml:space="preserve">
        <w:t> </w:t>
      </w:r>
      <w:r>
        <w:t xml:space="preserve">No.</w:t>
      </w:r>
      <w:r xml:space="preserve">
        <w:t> </w:t>
      </w:r>
      <w:r>
        <w:t xml:space="preserve">996</w:t>
      </w:r>
    </w:p>
    <w:p w:rsidR="003F3435" w:rsidRDefault="0032493E">
      <w:pPr>
        <w:jc w:val="both"/>
      </w:pPr>
      <w:r xml:space="preserve">
        <w:t> </w:t>
      </w:r>
      <w:r xml:space="preserve">
        <w:t> </w:t>
      </w:r>
      <w:r xml:space="preserve">
        <w:t> </w:t>
      </w:r>
      <w:r xml:space="preserve">
        <w:t> </w:t>
      </w:r>
      <w:r xml:space="preserve">
        <w:t> </w:t>
      </w:r>
      <w:r>
        <w:t xml:space="preserve">Capriglione, Leach</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996: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consumer debt by debt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Fair Consumer Debt Collection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392, Finance Code, is amended by adding Section 392.307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392.307.</w:t>
      </w:r>
      <w:r>
        <w:rPr>
          <w:u w:val="single"/>
        </w:rPr>
        <w:t xml:space="preserve"> </w:t>
      </w:r>
      <w:r>
        <w:rPr>
          <w:u w:val="single"/>
        </w:rPr>
        <w:t xml:space="preserve"> </w:t>
      </w:r>
      <w:r>
        <w:rPr>
          <w:u w:val="single"/>
        </w:rPr>
        <w:t xml:space="preserve">COLLECTION OF CERTAIN CONSUMER DEBT BY DEBT BUYERS.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"Charged-off debt" means a consumer debt that a creditor has determined to be a loss or expense to the creditor instead of an asset.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acquires a charged-off debt incidental to the purchase of a portfolio that predominantly consists of consumer debt that has not been charged off;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check services company that acquires the right to collect on a paper or electronic negotiable instrument, including an Automated Clearing House (ACH) authorization to debit an account that has not been processed.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expressly provided, this section prevails to the extent of any conflict between this section and any other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debt buyer may not, directly or indirectly, commence an action against or initiate arbitration with a consumer to collect a consumer debt after the expiration of the limitations period provided by Section 16.004,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action to collect a consumer debt is barred under Subsection (c), the cause of action is not revived by a payment of the consumer debt, an oral or written reaffirmation of the consumer debt, or any other activity on the consumer debt.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notice required under Subsection (e) must be in at least 12-point type that is boldfaced, capitalized, or underlined or otherwise conspicuously set out from the surrounding written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392.402,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person commits an offense if the person violates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violation of Section 392.307.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action of a debt buyer to collect a consumer debt if the action occurs on or after the effective date of this Act.  An action of a debt buyer to collect a consumer debt that occurs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