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86R4307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1006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changes to an application for an environmental permit before a contested case hearing on the application.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2003.047, Government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applicant whose application has been referred for a contested case hearing to be held in accordance with this section may not request changes to the application after the 31st day before the date scheduled for the preliminary hearing on the application.  If an applicant chooses to not proceed with the preliminary hearing on the application on or before the 31st day before the date scheduled for the preliminary hearing, the applicant must withdraw the application with or without prejudice in accordance with commission rule.  If an applicant who has withdrawn an application without prejudice subsequently resubmits a revised application, the applicant must comply with applicable notice and other requirements in effect on the date the revised application is submitted to the commission.  This subsection does not apply to a change made to an application for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preliminary hearing has been held and parties to the hearing have been named;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parties to the hearing have agreed in writing to the proposed changes;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has complied with applicable notice requirements.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382.0291(d), Health and Safety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application for the issuance or amendment of a permit pending before the Texas Commission on Environmental Quality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