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86R4878 SOS-D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Metcalf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1008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service of a member of the Texas Higher Education Coordinating Board or the commissioner of higher education.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61.0223, Education Code, is amended by amending Subsection (a) and adding Subsection (d)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It is a ground for removal from the board that a member: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does not have at the time of taking office the qualifications required by Section 61.0222(a);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does not maintain during service on the board the qualifications required by Section 61.0222(a);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is ineligible for membership under Section 61.022 or 61.0222;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cannot, because of illness or disability, discharge the member's duties for a substantial part of the member's term;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is absent from more than half of the regularly scheduled board meetings that the member is eligible to attend during a calendar year without an excuse approved by a majority vote of the board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taken an action that impairs the execution of a decision made by a majority of the board's membership at a board meeting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lieutenant governor or a member of the legislature has knowledge that a potential ground for removal exists, the lieutenant governor or member, as applicable, may inform the governor or the attorney general that a potential ground for removal exists.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61.028, Education Code, is amended by adding Subsection (b-1)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at a board meeting the board determines based on written evidence that the commissioner has taken an action that impairs the execution of a decision made at a board meeting by a majority of the board's membership, the board shall terminate the commissioner's employment at that meeting or the next board meeting. The board may adopt rules to administer this subsection.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1008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