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86R7474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1010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regional flood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(a)  Not later than September 1, 2021, and before the end of each successive five-year period after that date, the board shall prepare and adopt a state flood plan that incorporates the regional flood plans approved under Section 16.062.  The state flood plan must include a ranked list of ongoing and proposed flood control projects organized by watershed.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guidance principles for the state flood plan.  The board shall review and revise the guidance principles as necessary and at least every fifth year to coincide with the five-year cycle for adoption of a new state flood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adoption of a state flood plan, the board shall deliver the plan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appropriate legislative committees and legislative leadership.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REGIONAL FLOOD PLANNING.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technical assistance to the flood planning groups;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guidance principles for the regional flood plans, including procedures for amending adopted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flood planning regions corresponding to each watershed.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designate representatives from each flood planning region to serve as the initial flood planning group. The initial flood planning group may then designate additional representatives to serve on the flood planning group. The initial flood planning group shall designate additional representatives if necessary to ensure adequate representation from the interests in its region, including the general public, counties, municipalities, industries, agricultural interests, environmental interests, small businesses, electric generating utilities, river authorities, water districts, and water utilities. The flood planning group shall maintain adequate representation from those interests.  In addition, the board, the Parks and Wildlife Department, the Department of Agriculture, and the State Soil and Water Conservation Board each shall appoint a representative to serve as a member of each flood planning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flood planning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 draft regional flood plan for its flood planning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meetings in its flood planning region to gather from interested persons, including members of the public and other political subdivisions located in the flood planning region, suggestions and recommendations in response to the draft regional flood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flood planning group shall consider the information collected under Subsection (c)(2) in finalizing a regional flood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regional flood plan must include a list of projects, including technical specifications, necessary to meet the flood planning needs of the flood planning region for the next 10 years.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flood planning group shall submit its completed regional flood plan to the board.  The board shall make a determination whether the regional flood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for regional flood plans adopted in the guidance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 neighboring flood planning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makes a determination that a regional flood plan negatively affects a neighboring flood planning area, the board must coordinate with the affected area to adjust the plan to ensure that no neighboring area is negatively affected by the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approve a regional flood plan when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negatively affect a neighboring flood planning area.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flood planning group and committee or subcommittee of a flood planning group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1, 2020, the Texas Water Development Board shall adopt guidance principles for the regional flood plans and designate flood planning regions corresponding to each watershed as required by Section 16.062,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60th day after the date the Texas Water Development Board designates flood planning regions under Subsection (a) of this section, the board shall designate representatives within each flood planning region to serve as the initial flood planning group, as described by Section 16.062, Water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2021, each flood planning group shall submit a regional flood plan to the Texas Water Development Board for the group's flood planning area, as required by Section 16.062, Water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2022, the Texas Water Development Board shall approve a state flood plan, as required by Section 16.061,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