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86R3390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1016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determinations for the STAR+PLUS home and community based services (HCBS)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533.00282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533.00282.</w:t>
      </w:r>
      <w:r>
        <w:rPr>
          <w:u w:val="single"/>
        </w:rPr>
        <w:t xml:space="preserve"> </w:t>
      </w:r>
      <w:r>
        <w:rPr>
          <w:u w:val="single"/>
        </w:rPr>
        <w:t xml:space="preserve"> </w:t>
      </w:r>
      <w:r>
        <w:rPr>
          <w:u w:val="single"/>
        </w:rPr>
        <w:t xml:space="preserve">ELIGIBILITY DETERMINATIONS FOR STAR+PLUS HOME AND COMMUNITY BASED SERVICES (HCBS) PROGRAM. </w:t>
      </w:r>
      <w:r>
        <w:rPr>
          <w:u w:val="single"/>
        </w:rPr>
        <w:t xml:space="preserve"> </w:t>
      </w:r>
      <w:r>
        <w:rPr>
          <w:u w:val="single"/>
        </w:rPr>
        <w:t xml:space="preserve">(a) </w:t>
      </w:r>
      <w:r>
        <w:rPr>
          <w:u w:val="single"/>
        </w:rPr>
        <w:t xml:space="preserve"> </w:t>
      </w:r>
      <w:r>
        <w:rPr>
          <w:u w:val="single"/>
        </w:rPr>
        <w:t xml:space="preserve">The commission shall determine Medicaid eligibility for an applicant for the STAR+PLUS home and community based services (HCBS) program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20th day after the date the applicant submits the application;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45th day after the date the applicant submits the application, if the applicant is applying on the basis of a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organization with which the commission contracts to provide health care services to recipients shall, not later than the 30th day after the date an applicant for the STAR+PLUS home and community based services (HCBS) program submits the application, complete and submit to the entity serving as this state's Medicaid claims administrator the applicant's: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individual service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necessity and level of care assessment.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533.00282(a), Government Code, as added by this Act, applies only to an application for a determination of Medicaid eligibility submitted on or after the effective date of this Act.  An application for a determination of Medicaid eligibility submitted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 </w:t>
      </w:r>
      <w:r>
        <w:t xml:space="preserve"> </w:t>
      </w:r>
      <w:r>
        <w:t xml:space="preserve">(a)  The Health and Human Services Commission shall, in a contract between the commission and a managed care organization under Chapter 533, Government Code, that is entered into or renewed on or after the effective date of this Act,  require that the managed care organization comply with Section 533.00282(b), Government Code, as added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managed care organizations  under Chapter 533, Government Code, before the effective date of this Act to require those managed care organizations to comply with Section 533.00282(b), Government Code, as added by this Act.  To the extent of a conflict between Section 533.00282(b), Government Code, as added by this Act, and a provision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