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86R2585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1020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certain law enforcement agencies to implement a policy regarding cite and release for certain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 Code of Criminal Procedure, is amended by adding Article 14.07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14.07.</w:t>
      </w:r>
      <w:r>
        <w:rPr>
          <w:u w:val="single"/>
        </w:rPr>
        <w:t xml:space="preserve"> </w:t>
      </w:r>
      <w:r>
        <w:rPr>
          <w:u w:val="single"/>
        </w:rPr>
        <w:t xml:space="preserve"> </w:t>
      </w:r>
      <w:r>
        <w:rPr>
          <w:u w:val="single"/>
        </w:rPr>
        <w:t xml:space="preserve">CITE AND RELEASE POLICY.  (a)</w:t>
      </w:r>
      <w:r>
        <w:rPr>
          <w:u w:val="single"/>
        </w:rPr>
        <w:t xml:space="preserve">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"Institute" means the Bill Blackwood Law Enforcement Management Institute of Texas located at Sam Houston State University.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an agency of the state, or of a county, municipality, or other political subdivision of the state, that employs peace officers who make motor vehicle stops or arrests in the routine performance of the officers' official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institute, in consultation with large, medium, and small law enforcement agencies, including agencies that have implemented written policies to issue citations under Article 14.06(b) or (c), the Office of Court Administration of the Texas Judicial System, the Commission on Jail Standards, appropriate organizations engaged in the development of law enforcement policy, and nonprofit or community-based organizations with expertise in issues related to criminal or juvenile justice, shall develop, adopt, and disseminate to law enforcement agencies a model policy and associated training materials regarding the issuance of citations in lieu of arrest for misdemeanors as permitted by Article 14.06(b) or (c).  The institute shall provide a reasonable period for public comment regarding the model policy and associated training materials before adopting the policy and materials.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model policy developed under Subsection (b) must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credible academic and policy research on the issuance of citations in lieu of arrest;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best practices used by law enforcement agencies in this state and other states that have successfully: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implemented a cite and release policy;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reduced arrests for misdemeanors for which a peace officer has statutory authority to issue a citation in lieu of arrest.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model policy developed under Subsection (b)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procedures for issuing a citation for misdemeanors punishable by a fine only as described by Article 14.06(b) and for issuing a citation for Class A and B misdemeanors as described by Article 14.06(c);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any exceptional circumstances under which an arrest is necessary for a misdemeanor otherwise eligible for the issuance of a citation in lieu of arrest;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plan to monitor the implementation of the policy and compliance with the policy, including collection of necessary data;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procedures for providing to a defendant, at the time the citation is issued, information that will maximize the likelihood of the defendant's appearance in court;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procedures or best practices supported by credible research or commonly accepted by law enforcement agencies for reducing arrests for misdemeanors for which a peace officer has statutory authority to issue a citation in lieu of arrest.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model policy developed under Subsection (b) must be designed to achieve the following goals: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reducing the number of people arrested and booked into county and municipal jails for misdemeanors and avoiding the unnecessary detention of people who are arrested for but not yet convicted of a misdemeanor;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maximizing law enforcement efficiency by increasing the issuance of citations in lieu of arrest;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maximizing defendants' appearance rates in court pursuant to a citation.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law enforcement agency shall adopt, implement, and as necessary amend a detailed written policy regarding the issuance of citations in lieu of arrest for misdemeanors as permitted by Article 14.06(b) or (c).  The policy must meet the requirements applicable to the model policy as described by Subsections (c), (d), and (e).  A law enforcement agency may adopt the model policy adopted by the institute under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December 31 of each odd-numbered year, the institute shall review the model policy and associated training materials adopted under this article and modify the policy and materials as appropriate.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September 1 of each even-numbered year, each law enforcement agency shall review its policy adopted under this article and modify the policy as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 later than December 31, 2019, the Bill Blackwood Law Enforcement Management Institute of Texas shall develop, adopt, and disseminate the model policy and associated training materials required under Article 14.07(b), Code of Criminal Procedure, as added by this Act.</w:t>
      </w:r>
    </w:p>
    <w:p w:rsidR="003F3435" w:rsidRDefault="0032493E">
      <w:pPr>
        <w:spacing w:line="480" w:lineRule="auto"/>
        <w:ind w:firstLine="720"/>
        <w:jc w:val="both"/>
      </w:pPr>
      <w:r>
        <w:t xml:space="preserve">(b)</w:t>
      </w:r>
      <w:r xml:space="preserve">
        <w:t> </w:t>
      </w:r>
      <w:r xml:space="preserve">
        <w:t> </w:t>
      </w:r>
      <w:r>
        <w:t xml:space="preserve">Not later than May 1, 2020, each law enforcement agency as defined by Article 14.07(a)(2), Code of Criminal Procedure, as added by this Act, shall adopt a policy as required by Article 14.07(f), Code of Criminal Procedure,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