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86R4563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instruction in positive character traits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</w:t>
      </w:r>
      <w:r>
        <w:rPr>
          <w:u w:val="single"/>
        </w:rPr>
        <w:t xml:space="preserve">TRAITS INSTRUCTION</w:t>
      </w:r>
      <w:r>
        <w:t xml:space="preserve"> </w:t>
      </w:r>
      <w:r>
        <w:t xml:space="preserve">[</w:t>
      </w:r>
      <w:r>
        <w:rPr>
          <w:strike/>
        </w:rPr>
        <w:t xml:space="preserve">EDUCATION PROGRAM</w:t>
      </w:r>
      <w:r>
        <w:t xml:space="preserve">].  (a) </w:t>
      </w:r>
      <w:r>
        <w:t xml:space="preserve"> </w:t>
      </w:r>
      <w:r>
        <w:rPr>
          <w:u w:val="single"/>
        </w:rPr>
        <w:t xml:space="preserve">The State Board of Education shall integrate positive character traits into the essential knowledge and skills adopted for kindergarten through grade 12, as appropriate</w:t>
      </w:r>
      <w:r>
        <w:t xml:space="preserve"> [</w:t>
      </w:r>
      <w:r>
        <w:rPr>
          <w:strike/>
        </w:rPr>
        <w:t xml:space="preserve">A school district may provide a character education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must include the following</w:t>
      </w:r>
      <w:r>
        <w:t xml:space="preserve"> [</w:t>
      </w:r>
      <w:r>
        <w:rPr>
          <w:strike/>
        </w:rPr>
        <w:t xml:space="preserve">A character education program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stress</w:t>
      </w:r>
      <w:r>
        <w:t xml:space="preserve">] positive character traits [</w:t>
      </w:r>
      <w:r>
        <w:rPr>
          <w:strike/>
        </w:rPr>
        <w:t xml:space="preserve">, such as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responsibility, including accountability, diligence, perseverance, and self-control;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and charity;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and respect for authority and the law;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school pride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gratitude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use integrated teaching strategies;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 age appropriate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shall create a report that identifies the manner in which the character traits listed under Subsection (b) have been integrated into the curriculum. </w:t>
      </w:r>
      <w:r>
        <w:rPr>
          <w:u w:val="single"/>
        </w:rPr>
        <w:t xml:space="preserve"> </w:t>
      </w:r>
      <w:r>
        <w:rPr>
          <w:u w:val="single"/>
        </w:rPr>
        <w:t xml:space="preserve">The board shall make the report publicly available on the board's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school district and open-enrollment charter school must adopt a character education program that includes the positive character traits listed in Subsection (b). </w:t>
      </w:r>
      <w:r>
        <w:rPr>
          <w:u w:val="single"/>
        </w:rPr>
        <w:t xml:space="preserve"> </w:t>
      </w:r>
      <w:r>
        <w:rPr>
          <w:u w:val="single"/>
        </w:rPr>
        <w:t xml:space="preserve">The district or open-enrollment charter school shall submit the adopted program to the agency annually, in a manner determined by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This section does not require or authorize proselytizing or indoctrinating concerning any specific religious or political belief.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The agency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maintain a list of character education programs that school districts have implemented that meet the criteria under Subsection (b);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using the services of a center for education research established under Section 1.005, and</w:t>
      </w:r>
      <w:r>
        <w:t xml:space="preserve"> based on data reported by districts, annually designate as a Character Plus School each school that provides a character education program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meets the criteria prescribed by Subsection (b);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approved by the committee selected under Subsection </w:t>
      </w:r>
      <w:r>
        <w:rPr>
          <w:u w:val="single"/>
        </w:rPr>
        <w:t xml:space="preserve">(e)</w:t>
      </w:r>
      <w:r>
        <w:t xml:space="preserve"> </w:t>
      </w:r>
      <w:r>
        <w:t xml:space="preserve">[</w:t>
      </w:r>
      <w:r>
        <w:rPr>
          <w:strike/>
        </w:rPr>
        <w:t xml:space="preserve">(c)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a correlation between the character education program adopted by the school, an increase in student attendance levels, and a decrease in student disciplinary problems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include in the report required under Section 39.332: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based on data reported by districts, the impact of character education programs on student discipline and academic achievement;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other reported data relating to character education programs the agency considers appropriate for inclusion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The agency may accept money from [</w:t>
      </w:r>
      <w:r>
        <w:rPr>
          <w:strike/>
        </w:rPr>
        <w:t xml:space="preserve">federal government and</w:t>
      </w:r>
      <w:r>
        <w:t xml:space="preserve">] private sources to use in assisting school districts in implementing character education programs that meet the criteria prescribed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