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86R4853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(c),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t xml:space="preserve">Section 29.02;</w:t>
      </w:r>
    </w:p>
    <w:p w:rsidR="003F3435" w:rsidRDefault="0032493E">
      <w:pPr>
        <w:spacing w:line="480" w:lineRule="auto"/>
        <w:ind w:firstLine="1440"/>
        <w:jc w:val="both"/>
      </w:pPr>
      <w:r>
        <w:t xml:space="preserve">(3)</w:t>
      </w:r>
      <w:r xml:space="preserve">
        <w:t> </w:t>
      </w:r>
      <w:r xml:space="preserve">
        <w:t> </w:t>
      </w:r>
      <w:r>
        <w:t xml:space="preserve">Section 30.02;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Section 30.03;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30.04; and</w:t>
      </w:r>
    </w:p>
    <w:p w:rsidR="003F3435" w:rsidRDefault="0032493E">
      <w:pPr>
        <w:spacing w:line="480" w:lineRule="auto"/>
        <w:ind w:firstLine="1440"/>
        <w:jc w:val="both"/>
      </w:pPr>
      <w:r>
        <w:rPr>
          <w:u w:val="single"/>
        </w:rPr>
        <w:t xml:space="preserve">(6)</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an offense listed under Subsection (b)(1) or (4) is punishable as a Class A misdemeanor, the minimum term of confinement for the offense is increased to 180 days.</w:t>
      </w:r>
      <w:r>
        <w:t xml:space="preserve">] If an offense listed under Subsection (b)(3) or </w:t>
      </w:r>
      <w:r>
        <w:rPr>
          <w:u w:val="single"/>
        </w:rPr>
        <w:t xml:space="preserve">(6)</w:t>
      </w:r>
      <w:r>
        <w:t xml:space="preserve"> [</w:t>
      </w:r>
      <w:r>
        <w:rPr>
          <w:strike/>
        </w:rPr>
        <w:t xml:space="preserve">(4)</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(d)</w:t>
      </w:r>
      <w:r xml:space="preserve">
        <w:t> </w:t>
      </w:r>
      <w:r xml:space="preserve">
        <w:t> </w:t>
      </w:r>
      <w:r>
        <w:t xml:space="preserve">It is a defense to a charge under Subsection </w:t>
      </w:r>
      <w:r>
        <w:rPr>
          <w:u w:val="single"/>
        </w:rPr>
        <w:t xml:space="preserve">(b)(6)</w:t>
      </w:r>
      <w:r>
        <w:t xml:space="preserve"> [</w:t>
      </w:r>
      <w:r>
        <w:rPr>
          <w:strike/>
        </w:rPr>
        <w:t xml:space="preserve">(b)(4)</w:t>
      </w:r>
      <w:r>
        <w:t xml:space="preserve">] that the conduct in question meets the elements of necessity outlined in Section 9.22.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