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1028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1028</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(8)</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 (7),</w:t>
      </w:r>
      <w:r>
        <w:t xml:space="preserve"> or </w:t>
      </w:r>
      <w:r>
        <w:rPr>
          <w:u w:val="single"/>
        </w:rPr>
        <w:t xml:space="preserve">(8)</w:t>
      </w:r>
      <w:r>
        <w:t xml:space="preserve"> </w:t>
      </w:r>
      <w:r>
        <w:t xml:space="preserve">[</w:t>
      </w:r>
      <w:r>
        <w:rPr>
          <w:strike/>
        </w:rPr>
        <w:t xml:space="preserve">(4)</w:t>
      </w:r>
      <w:r>
        <w:t xml:space="preserve">] is punishable as a Class A misdemeanor, the minimum term of confinement for the offense is increased to 180 days. 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(8)</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