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86R2818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jurisdiction of county and justice courts in civil matters.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26.042(a),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court has concurrent jurisdiction with the justice courts in civil cases in which the matter in controversy exceeds $200 in value but does not exceed </w:t>
      </w:r>
      <w:r>
        <w:rPr>
          <w:u w:val="single"/>
        </w:rPr>
        <w:t xml:space="preserve">$20,000</w:t>
      </w:r>
      <w:r>
        <w:t xml:space="preserve"> </w:t>
      </w:r>
      <w:r>
        <w:t xml:space="preserve">[</w:t>
      </w:r>
      <w:r>
        <w:rPr>
          <w:strike/>
        </w:rPr>
        <w:t xml:space="preserve">$10,000</w:t>
      </w:r>
      <w:r>
        <w:t xml:space="preserve">], exclusive of interest.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27.031(a),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addition to the jurisdiction and powers provided by the constitution and other law, the justice court has original jurisdiction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civil matters in which exclusive jurisdiction is not in the district or county court and in which the amount in controversy is not more than </w:t>
      </w:r>
      <w:r>
        <w:rPr>
          <w:u w:val="single"/>
        </w:rPr>
        <w:t xml:space="preserve">$20,000</w:t>
      </w:r>
      <w:r>
        <w:t xml:space="preserve"> [</w:t>
      </w:r>
      <w:r>
        <w:rPr>
          <w:strike/>
        </w:rPr>
        <w:t xml:space="preserve">$10,000</w:t>
      </w:r>
      <w:r>
        <w:t xml:space="preserve">], exclusive of interest;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cases of forcible entry and detainer;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foreclosure of mortgages and enforcement of liens on personal property in cases in which the amount in controversy is otherwise within the justice court's jurisdiction;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cases arising under Chapter 707, Transportation Code, outside a municipality's territorial limits.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cause of action filed on or after the effective date of this Act.  A cause of action filed before that date is governed by the law in effect immediately before that date, and that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