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86R1669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H.B.</w:t>
      </w:r>
      <w:r xml:space="preserve">
        <w:t> </w:t>
      </w:r>
      <w:r>
        <w:t xml:space="preserve">No.</w:t>
      </w:r>
      <w:r xml:space="preserve">
        <w:t> </w:t>
      </w:r>
      <w:r>
        <w:t xml:space="preserve">1037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permits for certain vehicles being operated in connection with a motor sports racing event.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623, Transportation Code, is amended by adding Section 623.0173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623.0173.</w:t>
      </w:r>
      <w:r>
        <w:rPr>
          <w:u w:val="single"/>
        </w:rPr>
        <w:t xml:space="preserve"> </w:t>
      </w:r>
      <w:r>
        <w:rPr>
          <w:u w:val="single"/>
        </w:rPr>
        <w:t xml:space="preserve"> </w:t>
      </w:r>
      <w:r>
        <w:rPr>
          <w:u w:val="single"/>
        </w:rPr>
        <w:t xml:space="preserve">MOTOR SPORTS RACING EVENT PERMIT.  (a)  In this section, "motor sports racing event" means an automobile racing event and all activities leading up to that event, including administration, testing, practice, promotion, and merchandising, that is sanctioned by the Automobile Competition Committee for the United States (ACCUS).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issue an annual permit that allows a person to operate over a state highway or road a combination of vehicles that exceeds the length limit provided by law if the combination of vehicles: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exceed 85 feet in length;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being operated: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personal, noncommercial use;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primarily or exclusively in connection with a motor sports racing event.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permit issued under this section must be carried in the vehicle for which it is issued.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adopt rules necessary to implement this section, including rules governing the application for a permit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