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86R7704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1042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law enforcement agencies to establish a campus active shooter response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2.33.</w:t>
      </w:r>
      <w:r>
        <w:rPr>
          <w:u w:val="single"/>
        </w:rPr>
        <w:t xml:space="preserve"> </w:t>
      </w:r>
      <w:r>
        <w:rPr>
          <w:u w:val="single"/>
        </w:rPr>
        <w:t xml:space="preserve"> </w:t>
      </w:r>
      <w:r>
        <w:rPr>
          <w:u w:val="single"/>
        </w:rPr>
        <w:t xml:space="preserve">CAMPUS ACTIVE SHOOTER RESPONSE PLAN.  (a) </w:t>
      </w:r>
      <w:r>
        <w:rPr>
          <w:u w:val="single"/>
        </w:rPr>
        <w:t xml:space="preserve"> </w:t>
      </w:r>
      <w:r>
        <w:rPr>
          <w:u w:val="single"/>
        </w:rPr>
        <w:t xml:space="preserve">Each law enforcement agency in this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plan for coordinating with other local law enforcement agencies and first responders when responding to an active shooter emergency on the campus of a school or educational institution;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an active shooter drill with local law enforcement agencies and first responders in accordance with the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and, if necessary, revise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July 1 of each year, submit the plan to the Department of Public Safety.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response plan established under Subsection (a)(1) must include protocols for the first officer arriving at the scene to immediately: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the premises where the emergency is occurring;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evaluate the threat;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action to eliminate the threat, if feasible, or contain the threat to prevent further injuries and protect the public while additional law enforcement officers are summoned.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Public Safety shall adopt rules and procedures to annually certify a law enforcement agency's compliance with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each law enforcement agency shall establish the campus active shooter response plan required by Article 2.33(a)(1), Code of Criminal Procedure, as added by this Act; and</w:t>
      </w:r>
    </w:p>
    <w:p w:rsidR="003F3435" w:rsidRDefault="0032493E">
      <w:pPr>
        <w:spacing w:line="480" w:lineRule="auto"/>
        <w:ind w:firstLine="1440"/>
        <w:jc w:val="both"/>
      </w:pPr>
      <w:r>
        <w:t xml:space="preserve">(2)</w:t>
      </w:r>
      <w:r xml:space="preserve">
        <w:t> </w:t>
      </w:r>
      <w:r xml:space="preserve">
        <w:t> </w:t>
      </w:r>
      <w:r>
        <w:t xml:space="preserve">the Department of Public Safety shall adopt the rules and procedures required by Article 2.33(c),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Not later than July 1, 2020, each law enforcement agency shall submit the agency's initial plan to the Department of Public Safety, as required by Article 2.33(a)(3), Code of Criminal Procedure,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