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86R19472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 Nevárez, Oliverson, et al.</w:t>
      </w:r>
      <w:r xml:space="preserve">
        <w:tab wTab="150" tlc="none" cTlc="0"/>
      </w:r>
      <w:r>
        <w:t xml:space="preserve">H.B.</w:t>
      </w:r>
      <w:r xml:space="preserve">
        <w:t> </w:t>
      </w:r>
      <w:r>
        <w:t xml:space="preserve">No.</w:t>
      </w:r>
      <w:r xml:space="preserve">
        <w:t> </w:t>
      </w:r>
      <w:r>
        <w:t xml:space="preserve">1044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1044:</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certain injection wells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27.0516(a)(1), Water Code, is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w:t>
      </w:r>
      <w:r>
        <w:rPr>
          <w:u w:val="single"/>
        </w:rPr>
        <w:t xml:space="preserve">, together with the Upper Glen Rose Formation where scientific studies have documented a hydrological connection to the overlying Edwards Group</w:t>
      </w:r>
      <w:r>
        <w:t xml:space="preserve"> trending from west to east to northeast through Kinney, Uvalde, Medina, Bexar, Kendall, Comal, Hays, Travis, and Williamson Counties. </w:t>
      </w:r>
      <w:r>
        <w:t xml:space="preserve"> </w:t>
      </w:r>
      <w:r>
        <w:t xml:space="preserve">The permeable aquifer units generally overlie the less-permeable Glen Rose Formation to the south, overlie the less-permeable Comanche Peak and Walnut Formations north of the Colorado River, and underlie the less-permeable Del Rio Clay regionally.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27.0516(b), (f), (h), (k), and (n), Water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w:t>
      </w:r>
      <w:r>
        <w:rPr>
          <w:u w:val="single"/>
        </w:rPr>
        <w:t xml:space="preserve">the jurisdiction</w:t>
      </w:r>
      <w:r>
        <w:t xml:space="preserve"> </w:t>
      </w:r>
      <w:r>
        <w:t xml:space="preserve">[</w:t>
      </w:r>
      <w:r>
        <w:rPr>
          <w:strike/>
        </w:rPr>
        <w:t xml:space="preserve">that district's territory or the territory</w:t>
      </w:r>
      <w:r>
        <w:t xml:space="preserve">] of the Edwards Aquifer Authority. </w:t>
      </w:r>
      <w:r>
        <w:t xml:space="preserve"> </w:t>
      </w:r>
      <w:r>
        <w:rPr>
          <w:u w:val="single"/>
        </w:rPr>
        <w:t xml:space="preserve">This section does not apply to a wastewater facility permitted under Chapter 26 or a subsurface area drip dispersal system permitted under Chapter 32.</w:t>
      </w:r>
    </w:p>
    <w:p w:rsidR="003F3435" w:rsidRDefault="0032493E">
      <w:pPr>
        <w:spacing w:line="480" w:lineRule="auto"/>
        <w:ind w:firstLine="720"/>
        <w:jc w:val="both"/>
      </w:pPr>
      <w:r>
        <w:t xml:space="preserve">(f)</w:t>
      </w:r>
      <w:r xml:space="preserve">
        <w:t> </w:t>
      </w:r>
      <w:r xml:space="preserve">
        <w:t> </w:t>
      </w:r>
      <w:r>
        <w:t xml:space="preserve">The commission by </w:t>
      </w:r>
      <w:r>
        <w:rPr>
          <w:u w:val="single"/>
        </w:rPr>
        <w:t xml:space="preserve">rule, individual permit, or</w:t>
      </w:r>
      <w:r>
        <w:t xml:space="preserve"> </w:t>
      </w:r>
      <w:r>
        <w:t xml:space="preserve">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injection of fresh water into a well that transects the Edwards Aquifer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well isolates the Edwards Aquifer and meets the construction and completion standards adopted by the commission under Section 27.154;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well is part of an engineered aquifer storage and recovery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injected water: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sourced from a public water system, as defined by commission rule, that is permitted by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water quality standards for public drinking water established by commission rule;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injection complies with the provisions of Subchapter G that are not in conflict with this section</w:t>
      </w:r>
      <w:r>
        <w:t xml:space="preserve">.</w:t>
      </w:r>
    </w:p>
    <w:p w:rsidR="003F3435" w:rsidRDefault="0032493E">
      <w:pPr>
        <w:spacing w:line="480" w:lineRule="auto"/>
        <w:ind w:firstLine="720"/>
        <w:jc w:val="both"/>
      </w:pPr>
      <w:r>
        <w:t xml:space="preserve">(h)</w:t>
      </w:r>
      <w:r xml:space="preserve">
        <w:t> </w:t>
      </w:r>
      <w:r xml:space="preserve">
        <w:t> </w:t>
      </w:r>
      <w:r>
        <w:t xml:space="preserve">Rules adopted or a [</w:t>
      </w:r>
      <w:r>
        <w:rPr>
          <w:strike/>
        </w:rPr>
        <w:t xml:space="preserve">general</w:t>
      </w:r>
      <w:r>
        <w:t xml:space="preserve">]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w:t>
      </w:r>
      <w:r>
        <w:t xml:space="preserve"> </w:t>
      </w:r>
      <w:r>
        <w:t xml:space="preserve">fresh water;</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w:t>
      </w:r>
      <w:r>
        <w:rPr>
          <w:u w:val="single"/>
        </w:rPr>
        <w:t xml:space="preserve">,</w:t>
      </w:r>
      <w:r>
        <w:t xml:space="preserve"> [</w:t>
      </w:r>
      <w:r>
        <w:rPr>
          <w:strike/>
        </w:rPr>
        <w:t xml:space="preserve">or</w:t>
      </w:r>
      <w:r>
        <w:t xml:space="preserve">] (3)</w:t>
      </w:r>
      <w:r>
        <w:rPr>
          <w:u w:val="single"/>
        </w:rPr>
        <w:t xml:space="preserve">, or (5)</w:t>
      </w:r>
      <w:r>
        <w:t xml:space="preserve">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must ensure that an engineered aquifer storage and recovery facility project is consistent with the provisions of Subchapter G that are not in conflict with this section</w:t>
      </w:r>
      <w:r>
        <w:t xml:space="preserve">.</w:t>
      </w:r>
    </w:p>
    <w:p w:rsidR="003F3435" w:rsidRDefault="0032493E">
      <w:pPr>
        <w:spacing w:line="480" w:lineRule="auto"/>
        <w:ind w:firstLine="720"/>
        <w:jc w:val="both"/>
      </w:pPr>
      <w:r>
        <w:t xml:space="preserve">(k)</w:t>
      </w:r>
      <w:r xml:space="preserve">
        <w:t> </w:t>
      </w:r>
      <w:r xml:space="preserve">
        <w:t> </w:t>
      </w:r>
      <w:r>
        <w:t xml:space="preserve">Notwithstanding Subsection (h)(3), </w:t>
      </w:r>
      <w:r>
        <w:rPr>
          <w:u w:val="single"/>
        </w:rPr>
        <w:t xml:space="preserve">the commission by rule, individual permit, or</w:t>
      </w:r>
      <w:r>
        <w:t xml:space="preserve"> </w:t>
      </w:r>
      <w:r>
        <w:t xml:space="preserve">[</w:t>
      </w:r>
      <w:r>
        <w:rPr>
          <w:strike/>
        </w:rPr>
        <w:t xml:space="preserve">a</w:t>
      </w:r>
      <w:r>
        <w:t xml:space="preserve">] general permit may authorize the owner of an injection well authorized under Subsection (f)(2)</w:t>
      </w:r>
      <w:r>
        <w:rPr>
          <w:u w:val="single"/>
        </w:rPr>
        <w:t xml:space="preserve">,</w:t>
      </w:r>
      <w:r>
        <w:t xml:space="preserve"> [</w:t>
      </w:r>
      <w:r>
        <w:rPr>
          <w:strike/>
        </w:rPr>
        <w:t xml:space="preserve">or</w:t>
      </w:r>
      <w:r>
        <w:t xml:space="preserve">] (3)</w:t>
      </w:r>
      <w:r>
        <w:rPr>
          <w:u w:val="single"/>
        </w:rPr>
        <w:t xml:space="preserve">, or (5)</w:t>
      </w:r>
      <w:r>
        <w:t xml:space="preserve">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w:t>
      </w:r>
      <w:r>
        <w:rPr>
          <w:u w:val="single"/>
        </w:rPr>
        <w:t xml:space="preserve">, formations included in the Trinity Group, or</w:t>
      </w:r>
      <w:r>
        <w:t xml:space="preserve"> [</w:t>
      </w:r>
      <w:r>
        <w:rPr>
          <w:strike/>
        </w:rPr>
        <w:t xml:space="preserve">and</w:t>
      </w:r>
      <w:r>
        <w:t xml:space="preserve">] other</w:t>
      </w:r>
      <w:r>
        <w:t xml:space="preserve"> </w:t>
      </w:r>
      <w:r>
        <w:t xml:space="preserve">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the report provided by Texas State University--San Marcos under Subsection (l)(2), and any other reasonably available information, determines that continued operation of the injection well as described in the notice of intent does not pose an unreasonable risk to the fresh water portion of the Edwards Aquifer</w:t>
      </w:r>
      <w:r>
        <w:rPr>
          <w:u w:val="single"/>
        </w:rPr>
        <w:t xml:space="preserve">, formations included in the Trinity Group,</w:t>
      </w:r>
      <w:r>
        <w:t xml:space="preserve"> or other fresh water associated with the continued operation of the well.</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w:t>
      </w:r>
      <w:r>
        <w:rPr>
          <w:u w:val="single"/>
        </w:rPr>
        <w:t xml:space="preserve">, formations included in the Trinity Group,</w:t>
      </w:r>
      <w:r>
        <w:t xml:space="preserve"> or other</w:t>
      </w:r>
      <w:r>
        <w:t xml:space="preserve"> </w:t>
      </w:r>
      <w:r>
        <w:t xml:space="preserve">fresh water associated with the continued operation of the well, the commission shall notify the operator and specify, if possible, what well modifications </w:t>
      </w:r>
      <w:r>
        <w:rPr>
          <w:u w:val="single"/>
        </w:rPr>
        <w:t xml:space="preserve">or operational controls</w:t>
      </w:r>
      <w:r>
        <w:t xml:space="preserve"> would be adequate to prevent that unreasonable risk. </w:t>
      </w:r>
      <w:r>
        <w:t xml:space="preserve"> </w:t>
      </w:r>
      <w:r>
        <w:t xml:space="preserve">If the operator fails to modify the injection well as specified by the commission, the commission shall require the operator to cease operating the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an authorization described by Section 27.0516, Water Code, as amended by this Act, filed with the Texas Commission on Environmental Quality on or after the effective date of this Act.  An application filed with the Texas Commission on Environmental Quality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