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a county early voting polling place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85.010, Election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"eligible county polling place" means an early voting polling place, other than a polling place established under Section 85.062(e),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designate as an early voting polling place for the election </w:t>
      </w:r>
      <w:r>
        <w:rPr>
          <w:u w:val="single"/>
        </w:rPr>
        <w:t xml:space="preserve">an eligible county</w:t>
      </w:r>
      <w:r>
        <w:t xml:space="preserve"> [</w:t>
      </w:r>
      <w:r>
        <w:rPr>
          <w:strike/>
        </w:rPr>
        <w:t xml:space="preserve">any early voting</w:t>
      </w:r>
      <w:r>
        <w:t xml:space="preserve">] polling place[</w:t>
      </w:r>
      <w:r>
        <w:rPr>
          <w:strike/>
        </w:rPr>
        <w:t xml:space="preserve">, other than a polling place established under Section 85.062(e), established by the county and</w:t>
      </w:r>
      <w:r>
        <w:t xml:space="preserve">] located in the political subdivision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1048 was passed by the House on April 9, 2019, by the following vote:</w:t>
      </w:r>
      <w:r xml:space="preserve">
        <w:t> </w:t>
      </w:r>
      <w:r xml:space="preserve">
        <w:t> </w:t>
      </w:r>
      <w:r>
        <w:t xml:space="preserve">Yeas 148, Nays 0, 1 present, not voting; and that the House concurred in Senate amendments to H.B. No. 1048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1048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