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1048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15,</w:t>
      </w:r>
      <w:r xml:space="preserve">
        <w:t> </w:t>
      </w:r>
      <w:r>
        <w:t xml:space="preserve">2019, read first time and referred to Committee on State Affairs; May</w:t>
      </w:r>
      <w:r xml:space="preserve">
        <w:t> </w:t>
      </w:r>
      <w:r>
        <w:t xml:space="preserve">15,</w:t>
      </w:r>
      <w:r xml:space="preserve">
        <w:t> </w:t>
      </w:r>
      <w:r>
        <w:t xml:space="preserve">2019, reported adversely, with favorable Committee Substitute by the following vote:</w:t>
      </w:r>
      <w:r>
        <w:t xml:space="preserve"> </w:t>
      </w:r>
      <w:r>
        <w:t xml:space="preserve"> </w:t>
      </w:r>
      <w:r>
        <w:t xml:space="preserve">Yeas 9,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1048</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use of a county early voting polling place by a political subdivision.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85.010, Election Code, is amended by adding Subsection (a-1)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this section, "eligible county polling place" means an early voting polling place, other than a polling place established under Section 85.062(e), established by a county.</w:t>
      </w:r>
    </w:p>
    <w:p w:rsidR="003F3435" w:rsidRDefault="0032493E">
      <w:pPr>
        <w:spacing w:line="480" w:lineRule="auto"/>
        <w:ind w:firstLine="720"/>
        <w:jc w:val="both"/>
      </w:pPr>
      <w:r>
        <w:t xml:space="preserve">(b)</w:t>
      </w:r>
      <w:r xml:space="preserve">
        <w:t> </w:t>
      </w:r>
      <w:r xml:space="preserve">
        <w:t> </w:t>
      </w:r>
      <w:r>
        <w:t xml:space="preserve">A political subdivision that holds an election described by Subsection (a)</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shall designate as an early voting polling place for the election </w:t>
      </w:r>
      <w:r>
        <w:rPr>
          <w:u w:val="single"/>
        </w:rPr>
        <w:t xml:space="preserve">an eligible county</w:t>
      </w:r>
      <w:r>
        <w:t xml:space="preserve"> [</w:t>
      </w:r>
      <w:r>
        <w:rPr>
          <w:strike/>
        </w:rPr>
        <w:t xml:space="preserve">any early voting</w:t>
      </w:r>
      <w:r>
        <w:t xml:space="preserve">] polling place[</w:t>
      </w:r>
      <w:r>
        <w:rPr>
          <w:strike/>
        </w:rPr>
        <w:t xml:space="preserve">, other than a polling place established under Section 85.062(e), established by the county and</w:t>
      </w:r>
      <w:r>
        <w:t xml:space="preserve">] located in the political subdivision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designate as an early voting polling place a location other than an eligible county polling place unless each eligible county polling place located in the political subdivision is designated as an early voting polling place by the political subdivision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1048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