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Ashby, Zerwas, White</w:t>
      </w:r>
      <w:r xml:space="preserve">
        <w:tab wTab="150" tlc="none" cTlc="0"/>
      </w:r>
      <w:r>
        <w:t xml:space="preserve">H.B.</w:t>
      </w:r>
      <w:r xml:space="preserve">
        <w:t> </w:t>
      </w:r>
      <w:r>
        <w:t xml:space="preserve">No.</w:t>
      </w:r>
      <w:r xml:space="preserve">
        <w:t> </w:t>
      </w:r>
      <w:r>
        <w:t xml:space="preserve">1051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1051:</w:t>
      </w: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C.S.H.B.</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adult education program provided under an adult high school diploma and industry certification charter school program, eligibility of certain students for Foundation School Program benefits, and reporting requirements regarding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for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(g), (j), and (m) and adding Subsections (g-1), (i-1), and (i-2)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adult education program offered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instructional model in which at least 75 percent of instruction is delivered by a teacher in an in-person, interactive classroom setting;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support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care at no cost to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students with identified disabilities or impairments, instructional support services.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w:t>
      </w:r>
      <w:r>
        <w:rPr>
          <w:u w:val="single"/>
        </w:rPr>
        <w:t xml:space="preserve"> </w:t>
      </w:r>
      <w:r>
        <w:rPr>
          <w:u w:val="single"/>
        </w:rPr>
        <w:t xml:space="preserve">The expansion amendment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pilot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19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 </w:t>
      </w:r>
      <w:r>
        <w:t xml:space="preserve">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29.259(d), Education Code, as amended by Chapter 98 (S.B. 276),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w:t>
      </w:r>
      <w:r>
        <w:rPr>
          <w:strike/>
        </w:rPr>
        <w:t xml:space="preserve">at least 19 years of age and under 26 years of age and is</w:t>
      </w:r>
      <w:r>
        <w:t xml:space="preserve">]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 </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