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1053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disposition of real property interests by the Willacy County Navigation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404, Acts of the 53rd Legislature, Regular Session, 1953, is amended by adding Section 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sell, exchange, or lease real property or any interest in real property owned by it, whether the real property was acquired by gift or purchase, in settlement of any litigation, controversy, or claim in behalf of the District, or in any other manner, except that lands or flats heretofore purchased from the State of Texas under former Article 8225, Revised Civil Statutes of Texas, 1925, or granted by the State of Texas in any general or special act, may be sold only to the State of Texas or exchanged with the State of Texas for other lands or exchanged for adjacent littoral land as authorized by Section 61.117, Water Code.  The District may impose restrictions on the development, use, and transfer of any real property or interest in real property, other than lands or flats purchased from the State of Texas under former Article 8225, Revised Civil Statutes of Texas, 1925, or granted by the State of Texas in any general or special act, in connection with its sale or exchange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of this section, before the District may sell or exchange real property, the Board shall determine by resolution that the land is no longer needed for use by the District in connection with the development of a navigation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(e), or (f) of this section, a sale or exchange of real property shall be made as provided by Sections 60.040-60.042,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donate, exchange, convey, sell, or lease land, improvements, easements, or any other interests in real property to promote a public purpose related to the development of the District.  The District shall determine the terms and conditions of the transaction so as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achieve the public purpose;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consistent with the requirements of Title 2, Utilities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donate, exchange, convey, sell, or lease a real property interest under Subsection (d) of this section for less than its fair market value and without complying with the notice and bidding requirements of Sections 60.040-60.042, Water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Narrow strips of real property resulting from boundary or surveying conflicts or similar causes, or from insubstantial encroachments by abutting real property owners, or real property of larger configuration that has been subject to encroachments by abutting real property owners for more than 25 years may be abandoned, released, exchanged, or transferred to such abutting owners on terms and conditions considered appropriate or advantageous to the District.  The District may convey real property under this subsection for less than its fair market value and without complying with the notice and bidding requirements of Sections 60.040-60.042, Water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may grant easements over or </w:t>
      </w:r>
      <w:r>
        <w:rPr>
          <w:u w:val="single"/>
        </w:rPr>
        <w:t xml:space="preserve">on its real property on terms and conditions the Board determines to be advantageous to the District.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authority granted to the District by this section to dispose of interests in real property is in addition to any authority granted by Chapter 272, Local Government Code, and a disposition of an interest in real property under this section is exempt from the notice, bidding, and other requirements of Chapter 272,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