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86R9658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1053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1053:</w:t>
      </w: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C.S.H.B.</w:t>
      </w:r>
      <w:r xml:space="preserve">
        <w:t> </w:t>
      </w:r>
      <w:r>
        <w:t xml:space="preserve">No.</w:t>
      </w:r>
      <w:r xml:space="preserve">
        <w:t> </w:t>
      </w:r>
      <w:r>
        <w:t xml:space="preserve">1053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disposition of real property interests by the Willacy County Navigation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404, Acts of the 53rd Legislature, Regular Session, 1953, is amended by adding Section 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sell, exchange, or lease real property or any interest in real property owned by it, whether the real property was acquired by gift or purchase, in settlement of any litigation, controversy, or claim in behalf of the District, or in any other manner, except that lands or flats heretofore purchased from the State of Texas under former Article 8225, Revised Civil Statutes of Texas, 1925, or granted by the State of Texas in any general or special act, may be sold only to the State of Texas or exchanged with the State of Texas for other lands or exchanged for adjacent littoral land as authorized by Section 61.117, Water Code.  The District may impose restrictions on the development, use, and transfer of any real property or interest in real property in connection with its sale or exchange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of this section, before the District may sell or exchange real property, the Board shall determine by resolution that the land is no longer needed for use by the District in connection with the development of a navigation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(e), or (f) of this section, a sale or exchange of real property shall be made as provided by Sections 60.040-60.042,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donate, exchange, convey, sell, or lease land, improvements, easements, or any other interests in real property to an electric utility, as that term is defined by Section 31.002, Utilities Code, or a telecommunications utility, as that term is defined by Section 51.002, Utilities Code, to promote a public purpose related to the development of the District.  The District shall determine the terms and conditions of the transaction so as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achieve the public purpose;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consistent with the requirements of Title 2, Utilities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donate, exchange, convey, sell, or lease a real property interest under Subsection (d) of this section for less than its fair market value and without complying with the notice and bidding requirements of Sections 60.040-60.042, Water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Narrow strips of real property resulting from boundary or surveying conflicts or similar causes, or from insubstantial encroachments by abutting real property owners, or real property of larger configuration that has been subject to encroachments by abutting real property owners for more than 25 years may be abandoned, released, exchanged, or transferred to such abutting owners on terms and conditions considered appropriate or advantageous to the District.  The District may convey real property under this subsection for less than its fair market value and without complying with the notice and bidding requirements of Sections 60.040-60.042, Water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may grant easements over, on, or under its real property on terms and conditions the Board determines to be advantageous to the District.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authority granted to the District by this section to dispose of interests in real property is in addition to any authority granted by Chapter 272, Local Government Code, and a disposition of an interest in real property under this section is exempt from the notice, bidding, and other requirements of Chapter 272,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