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1053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2;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1053</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disposition of real property interests by the Willacy County Navigation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404, Acts of the 53rd Legislature, Regular Session, 1953, is amended by adding Section 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61.117, Water Code.  The District may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of this section, before the District may sell or exchange real property, the Board shall determine by resolution that the land is no longer needed for use by the District in connection with the development of a navigation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(e), or (f) of this section, a sale or exchange of real property shall be made as provided by Sections 60.040-60.042,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donate, exchange, convey, sell, or lease land, improvements, easements, or any other interests in real property to promote a public purpose related to the development of the District.  The District shall determine the terms and conditions of the transaction so as to achieve the public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donate, exchange, convey, sell, or lease a real property interest under Subsection (d) of this 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The District may convey real property under this subsection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grant easements over or on its real property on terms and conditions the Board determines to be advantageous to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authority granted to the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