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86R5442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elevation of high-speed rail tracks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112, Transportation Code, is amended by adding Section 112.104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ELEVATED HIGH-SPEED RAIL TRACKS IN CERTAIN COUNTIES.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necessary for passenger boarding, high-speed rail tracks located in a county with a population of more than one million or a county adjacent to a county with a population of more than one million must be elevated on pylons to 40 feet or more above the ground.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