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request that notice of a protest hearing before the appraisal review board be delivered by certified mail or electronic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provision of this section, a property owner need not enter into an agreement under this section to be entitled to electronic delivery of a notice of a protest hearing under Section 41.46.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41.46,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deliver notice of the hearing by certified mail if, in the notice of protest under Section 41.44, the property owner requests delivery by certified mail. </w:t>
      </w:r>
      <w:r>
        <w:rPr>
          <w:u w:val="single"/>
        </w:rPr>
        <w:t xml:space="preserve"> </w:t>
      </w:r>
      <w:r>
        <w:rPr>
          <w:u w:val="single"/>
        </w:rPr>
        <w:t xml:space="preserve">The board may require the property owner to pay the cost of postage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1.085, the appraisal review board shall deliver notice of the hearing by electronic mail if, in the notice of protest under Section 41.44, the property owner requests delivery by electronic mail and provides a valid electronic mail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1060 was passed by the House on April 16, 2019, by the following vote:</w:t>
      </w:r>
      <w:r xml:space="preserve">
        <w:t> </w:t>
      </w:r>
      <w:r xml:space="preserve">
        <w:t> </w:t>
      </w:r>
      <w:r>
        <w:t xml:space="preserve">Yeas 135,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