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86R8385 JSC-D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Minjarez</w:t>
      </w:r>
      <w:r xml:space="preserve">
        <w:tab wTab="150" tlc="none" cTlc="0"/>
      </w:r>
      <w:r>
        <w:t xml:space="preserve">H.B.</w:t>
      </w:r>
      <w:r xml:space="preserve">
        <w:t> </w:t>
      </w:r>
      <w:r>
        <w:t xml:space="preserve">No.</w:t>
      </w:r>
      <w:r xml:space="preserve">
        <w:t> </w:t>
      </w:r>
      <w:r>
        <w:t xml:space="preserve">1061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mandatory arbitration as a condition of employment.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A, Title 2, Labor Code, is amended by adding Chapter 26 to read as follows:</w:t>
      </w:r>
    </w:p>
    <w:p w:rsidR="003F3435" w:rsidRDefault="0032493E">
      <w:pPr>
        <w:spacing w:line="480" w:lineRule="auto"/>
        <w:jc w:val="center"/>
      </w:pPr>
      <w:r>
        <w:rPr>
          <w:u w:val="single"/>
        </w:rPr>
        <w:t xml:space="preserve">CHAPTER 26.  EMPLOYMENT AGREEMENTS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26.001.</w:t>
      </w:r>
      <w:r>
        <w:rPr>
          <w:u w:val="single"/>
        </w:rPr>
        <w:t xml:space="preserve"> </w:t>
      </w:r>
      <w:r>
        <w:rPr>
          <w:u w:val="single"/>
        </w:rPr>
        <w:t xml:space="preserve"> </w:t>
      </w:r>
      <w:r>
        <w:rPr>
          <w:u w:val="single"/>
        </w:rPr>
        <w:t xml:space="preserve">MANDATORY ARBITRATION AGREEMENT AS CONDITION OF EMPLOYMENT.  (a) </w:t>
      </w:r>
      <w:r>
        <w:rPr>
          <w:u w:val="single"/>
        </w:rPr>
        <w:t xml:space="preserve"> </w:t>
      </w:r>
      <w:r>
        <w:rPr>
          <w:u w:val="single"/>
        </w:rPr>
        <w:t xml:space="preserve">An employer may not require an employee to sign a mandatory arbitration agreement as a condition of employment unless, on hiring the employee: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employer verbally reviews the agreement with the employee;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employer and employee sign an acknowledgment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employer has reviewed the agreement with the employee;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employer has answered the employee's questions and concerns related to the agreement; and</w:t>
      </w:r>
      <w:r>
        <w:t xml:space="preserve"> </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both parties understand their rights and responsibilities under the agreement.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arbitration agreement and acknowledgment must be provided to the employee in the employee's native language.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employer requiring arbitration as a condition of employment for an employee who begins employment on or after the effective date of this Act. </w:t>
      </w:r>
      <w:r>
        <w:t xml:space="preserve"> </w:t>
      </w:r>
      <w:r>
        <w:t xml:space="preserve">An employer requiring arbitration as a condition of employment for an employee who began employment before that date is governed by the law in effect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1061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