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Sheffield, Rose, Ashby,</w:t>
      </w:r>
      <w:r xml:space="preserve">
        <w:tab wTab="150" tlc="none" cTlc="0"/>
      </w:r>
      <w:r>
        <w:t xml:space="preserve">H.B.</w:t>
      </w:r>
      <w:r xml:space="preserve">
        <w:t> </w:t>
      </w:r>
      <w:r>
        <w:t xml:space="preserve">No.</w:t>
      </w:r>
      <w:r xml:space="preserve">
        <w:t> </w:t>
      </w:r>
      <w:r>
        <w:t xml:space="preserve">1063</w:t>
      </w:r>
    </w:p>
    <w:p w:rsidR="003F3435" w:rsidRDefault="0032493E">
      <w:pPr>
        <w:jc w:val="both"/>
      </w:pPr>
      <w:r xml:space="preserve">
        <w:t> </w:t>
      </w:r>
      <w:r xml:space="preserve">
        <w:t> </w:t>
      </w:r>
      <w:r xml:space="preserve">
        <w:t> </w:t>
      </w:r>
      <w:r xml:space="preserve">
        <w:t> </w:t>
      </w:r>
      <w:r xml:space="preserve">
        <w:t> </w:t>
      </w:r>
      <w:r>
        <w:t xml:space="preserve">González of El Paso,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telemedicine medical, telehealth, and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w:t>
      </w:r>
      <w:r>
        <w:rPr>
          <w:strike/>
        </w:rPr>
        <w:t xml:space="preserve">and</w:t>
      </w:r>
      <w:r>
        <w:t xml:space="preserve">] the cost of utilization</w:t>
      </w:r>
      <w:r>
        <w:rPr>
          <w:u w:val="single"/>
        </w:rPr>
        <w:t xml:space="preserve">, and the cost savings</w:t>
      </w:r>
      <w:r>
        <w:t xml:space="preserve"> of telemedicine medical services, telehealth services, and home telemonitoring services to Medicaid.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