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86R6224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and (j-2)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