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86R7855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H.B.</w:t>
      </w:r>
      <w:r xml:space="preserve">
        <w:t> </w:t>
      </w:r>
      <w:r>
        <w:t xml:space="preserve">No.</w:t>
      </w:r>
      <w:r xml:space="preserve">
        <w:t> </w:t>
      </w:r>
      <w:r>
        <w:t xml:space="preserve">1074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against age discrimination in certain employment training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21.101, Labor Code, is amended to read as follows:</w:t>
      </w: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AGE DISCRIMINATION LIMITED TO INDIVIDUALS OF CERTAIN AGE.  </w:t>
      </w:r>
      <w:r>
        <w:rPr>
          <w:u w:val="single"/>
        </w:rPr>
        <w:t xml:space="preserve">The</w:t>
      </w:r>
      <w:r>
        <w:t xml:space="preserve"> [</w:t>
      </w:r>
      <w:r>
        <w:rPr>
          <w:strike/>
        </w:rPr>
        <w:t xml:space="preserve">Except as provided by Section 21.054, the</w:t>
      </w:r>
      <w:r>
        <w:t xml:space="preserve">] provisions of this chapter referring to discrimination because of age or on the basis of age apply only to discrimination against an individual 40 years of age or 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21.054(b), Labor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