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1076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Sections 411.0732 and 411.0737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CERTAIN STATE JAIL FELONIES.  (a) </w:t>
      </w:r>
      <w:r>
        <w:rPr>
          <w:u w:val="single"/>
        </w:rPr>
        <w:t xml:space="preserve"> </w:t>
      </w:r>
      <w:r>
        <w:rPr>
          <w:u w:val="single"/>
        </w:rPr>
        <w:t xml:space="preserve">This section applies only to a person placed on community supervision under Chapter 42A, Code of Criminal Procedure: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following a conviction of a state jail felony punishable under Section 12.35(a),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 provision of Chapter 42A, Code of Criminal Procedure, other than Subchapter C,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provision that requires the person to serve a term of confinement as a condition of community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provision that authorizes placing a person on community supervision after the person has served part of a term of confinement imposed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issue an order of nondisclosure of criminal history record information under this section if the court determines that the offense for which the order is sought was violent or sexual in 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on or after the fifth anniversary of the date of completion of the community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411.0737.</w:t>
      </w:r>
      <w:r>
        <w:rPr>
          <w:u w:val="single"/>
        </w:rPr>
        <w:t xml:space="preserve"> </w:t>
      </w:r>
      <w:r>
        <w:rPr>
          <w:u w:val="single"/>
        </w:rPr>
        <w:t xml:space="preserve"> </w:t>
      </w:r>
      <w:r>
        <w:rPr>
          <w:u w:val="single"/>
        </w:rPr>
        <w:t xml:space="preserve">PROCEDURE FOR CONVICTION; CERTAIN STATE JAIL FELONIES.  (a)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 a state jail felony punishable under Section 12.35(a),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eligible for an order of nondisclosure of criminal history record information under Section 411.0732.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issue an order of nondisclosure of criminal history record information under this section if the court determines that the offense for which the order is sought was violent or sexual in 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petition the court that imposed the sentence for an order of nondisclosure of criminal history record information under this section only on or after the fifth anniversary of the date of completion of the person's sentence.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