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86R5388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1083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sales tax for certain beer or ale sold on July 4.</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151.3155.</w:t>
      </w:r>
      <w:r>
        <w:rPr>
          <w:u w:val="single"/>
        </w:rPr>
        <w:t xml:space="preserve"> </w:t>
      </w:r>
      <w:r>
        <w:rPr>
          <w:u w:val="single"/>
        </w:rPr>
        <w:t xml:space="preserve"> </w:t>
      </w:r>
      <w:r>
        <w:rPr>
          <w:u w:val="single"/>
        </w:rPr>
        <w:t xml:space="preserve">BEER OR ALE ON JULY 4.  The sale of beer or ale is exempted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 takes place on July 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seller holds a wine and beer retailer's off-premise permit under Chapter 26, Alcoholic Beverage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