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86R15287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1095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1095:</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certain criminal history record information requirements regarding the licensing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455.160, Occupations Code, is amended to read as follows:</w:t>
      </w:r>
    </w:p>
    <w:p w:rsidR="003F3435" w:rsidRDefault="0032493E">
      <w:pPr>
        <w:spacing w:line="480" w:lineRule="auto"/>
        <w:ind w:firstLine="720"/>
        <w:jc w:val="both"/>
      </w:pPr>
      <w:r>
        <w:t xml:space="preserve">Sec.</w:t>
      </w:r>
      <w:r xml:space="preserve">
        <w:t> </w:t>
      </w:r>
      <w:r>
        <w:t xml:space="preserve">455.160.</w:t>
      </w:r>
      <w:r xml:space="preserve">
        <w:t> </w:t>
      </w:r>
      <w:r xml:space="preserve">
        <w:t> </w:t>
      </w:r>
      <w:r>
        <w:t xml:space="preserve">LICENSE TERM AND RENEWAL</w:t>
      </w:r>
      <w:r>
        <w:rPr>
          <w:u w:val="single"/>
        </w:rPr>
        <w:t xml:space="preserve">; CRIMINAL HISTORY RECORD INFORMATION REQUIREMENT FOR LICENSE RENEWAL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455.160, Occupations Code, is amended by adding Subsections (b), (c), and (d)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renewing a license issued under this chapter shall submit a complete and legible set of fingerprints for purposes of performing a criminal history record information check of the license holder as provided by Section 455.1525.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administratively suspend or refuse to renew the license of a person who does not comply with the requirement of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455.1525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455.160(h), Occupations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Sections 455.1525 and 455.160, Occupations Code, as amended by this Act, apply only to an application for the issuance or renewal of a license submitted to the Texas Department of Licensing and Regulation on or after the effective date of this Act. An application for the issuance or renewal of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