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86R5382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officers commissioned by the State Board of Veterinary Medical Examiners.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801, Occupations Code, is amended by adding Section 801.165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801.165.</w:t>
      </w:r>
      <w:r>
        <w:rPr>
          <w:u w:val="single"/>
        </w:rPr>
        <w:t xml:space="preserve"> </w:t>
      </w:r>
      <w:r>
        <w:rPr>
          <w:u w:val="single"/>
        </w:rPr>
        <w:t xml:space="preserve"> </w:t>
      </w:r>
      <w:r>
        <w:rPr>
          <w:u w:val="single"/>
        </w:rPr>
        <w:t xml:space="preserve">PEACE OFFICERS.  (a) </w:t>
      </w:r>
      <w:r>
        <w:rPr>
          <w:u w:val="single"/>
        </w:rPr>
        <w:t xml:space="preserve"> </w:t>
      </w:r>
      <w:r>
        <w:rPr>
          <w:u w:val="single"/>
        </w:rPr>
        <w:t xml:space="preserve">The board may employ and commission as a peace officer to enforce this chapter a person who has been certified as qualified to be a peace officer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commissions peace officers under Subsection (a), the board shall designate a peace officer as the chief investigator to supervise and direct the other peace officers commissioned by the board.  The chief investigator must have appropriate training and experience in law enforcement, as determined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and</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w:t>
      </w:r>
      <w:r>
        <w:rPr>
          <w:strike/>
        </w:rPr>
        <w:t xml:space="preserve">and</w:t>
      </w:r>
      <w:r>
        <w:t xml:space="preserve">]</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r>
        <w:rPr>
          <w:u w:val="single"/>
        </w:rPr>
        <w:t xml:space="preserve">; and</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officers commissioned by the State Board of Veterinary Medical Examiners under Section 801.165,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