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Oliverson</w:t>
      </w:r>
      <w:r xml:space="preserve">
        <w:tab wTab="150" tlc="none" cTlc="0"/>
      </w:r>
      <w:r>
        <w:t xml:space="preserve">H.B.</w:t>
      </w:r>
      <w:r xml:space="preserve">
        <w:t> </w:t>
      </w:r>
      <w:r>
        <w:t xml:space="preserve">No.</w:t>
      </w:r>
      <w:r xml:space="preserve">
        <w:t> </w:t>
      </w:r>
      <w:r>
        <w:t xml:space="preserve">1112</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May</w:t>
      </w:r>
      <w:r xml:space="preserve">
        <w:t> </w:t>
      </w:r>
      <w:r>
        <w:t xml:space="preserve">7,</w:t>
      </w:r>
      <w:r xml:space="preserve">
        <w:t> </w:t>
      </w:r>
      <w:r>
        <w:t xml:space="preserve">2019, read first time and referred to Committee on Health &amp; Human Services; May</w:t>
      </w:r>
      <w:r xml:space="preserve">
        <w:t> </w:t>
      </w:r>
      <w:r>
        <w:t xml:space="preserve">17,</w:t>
      </w:r>
      <w:r xml:space="preserve">
        <w:t> </w:t>
      </w:r>
      <w:r>
        <w:t xml:space="preserve">2019, reported favorably by the following vote:</w:t>
      </w:r>
      <w:r>
        <w:t xml:space="preserve"> </w:t>
      </w:r>
      <w:r>
        <w:t xml:space="preserve"> </w:t>
      </w:r>
      <w:r>
        <w:t xml:space="preserve">Yeas 9,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removal of signs indicating that a freestanding emergency medical care facility is operational.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254, Health and Safety Code, is amended by adding Section 254.156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254.156.</w:t>
      </w:r>
      <w:r>
        <w:rPr>
          <w:u w:val="single"/>
        </w:rPr>
        <w:t xml:space="preserve"> </w:t>
      </w:r>
      <w:r>
        <w:rPr>
          <w:u w:val="single"/>
        </w:rPr>
        <w:t xml:space="preserve"> </w:t>
      </w:r>
      <w:r>
        <w:rPr>
          <w:u w:val="single"/>
        </w:rPr>
        <w:t xml:space="preserve">REMOVAL OF SIGNS.  A facility that closes or for which a license issued under this chapter expires or is suspended or revoked shall immediately remove or cause to be removed any signs within view of the general public indicating that the facility is in operation.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254.203(a)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petition a district court for a temporary restraining order to restrain a continuing violation of the standards or licensing requirements provided under this chapter </w:t>
      </w:r>
      <w:r>
        <w:rPr>
          <w:u w:val="single"/>
        </w:rPr>
        <w:t xml:space="preserve">or of Section 254.156</w:t>
      </w:r>
      <w:r>
        <w:t xml:space="preserve"> if the department finds that the violation creates an immediate threat to the health and safety of the patients of a facility </w:t>
      </w:r>
      <w:r>
        <w:rPr>
          <w:u w:val="single"/>
        </w:rPr>
        <w:t xml:space="preserve">or of the public</w:t>
      </w:r>
      <w:r>
        <w:t xml:space="preserve">.</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by the court that a person is violating the standards or licensing requirements provided under this chapter </w:t>
      </w:r>
      <w:r>
        <w:rPr>
          <w:u w:val="single"/>
        </w:rPr>
        <w:t xml:space="preserve">or is violating Section 254.156</w:t>
      </w:r>
      <w:r>
        <w:t xml:space="preserve">,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w:t>
      </w:r>
      <w:r>
        <w:rPr>
          <w:u w:val="single"/>
        </w:rPr>
        <w:t xml:space="preserve">the</w:t>
      </w:r>
      <w:r>
        <w:t xml:space="preserve"> [</w:t>
      </w:r>
      <w:r>
        <w:rPr>
          <w:strike/>
        </w:rPr>
        <w:t xml:space="preserve">a</w:t>
      </w:r>
      <w:r>
        <w:t xml:space="preserve">] violation [</w:t>
      </w:r>
      <w:r>
        <w:rPr>
          <w:strike/>
        </w:rPr>
        <w:t xml:space="preserve">of the standards or licensing requirements provided under this chapter</w:t>
      </w:r>
      <w:r>
        <w:t xml:space="preserve">];</w:t>
      </w:r>
    </w:p>
    <w:p w:rsidR="003F3435" w:rsidRDefault="0032493E">
      <w:pPr>
        <w:spacing w:line="480" w:lineRule="auto"/>
        <w:ind w:firstLine="1440"/>
        <w:jc w:val="both"/>
      </w:pPr>
      <w:r>
        <w:t xml:space="preserve">(2)</w:t>
      </w:r>
      <w:r xml:space="preserve">
        <w:t> </w:t>
      </w:r>
      <w:r xml:space="preserve">
        <w:t> </w:t>
      </w:r>
      <w:r>
        <w:t xml:space="preserve">restrain or prevent the establishment or operation of a facility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