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limitations periods for certain suits against real estate appraisers and appraisal firms.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 Civil Practice and Remedies Code, is amended by adding Section 16.013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16.013.</w:t>
      </w:r>
      <w:r>
        <w:rPr>
          <w:u w:val="single"/>
        </w:rPr>
        <w:t xml:space="preserve"> </w:t>
      </w:r>
      <w:r>
        <w:rPr>
          <w:u w:val="single"/>
        </w:rPr>
        <w:t xml:space="preserve"> </w:t>
      </w:r>
      <w:r>
        <w:rPr>
          <w:u w:val="single"/>
        </w:rPr>
        <w:t xml:space="preserve">REAL ESTATE APPRAISERS AND APPRAISAL FIRMS.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"Appraisal" has the meaning assigned by Section 1103.003,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"Appraisal review" has the meaning assigned by Section 1104.003,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"Real estate appraisal firm"  means an entity engaging a real estate appraiser as an owner, member, shareholder, partner, employee, or independent contractor to perform an appraisal or appraisal review.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estate appraiser" means an individual licensed or certified under Chapter 1103,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for a suit based on fraud or breach of contract, a person must bring suit for damages or other relief arising from an appraisal or appraisal review conducted by a real estate appraiser or appraisal firm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years after the day the person knew or should have known the facts on which the action is based;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years after the day the appraisal or appraisal review was completed.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154, Civil Practice and Remedies Code, is amended by adding Section 154.074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154.074.</w:t>
      </w:r>
      <w:r>
        <w:rPr>
          <w:u w:val="single"/>
        </w:rPr>
        <w:t xml:space="preserve"> </w:t>
      </w:r>
      <w:r>
        <w:rPr>
          <w:u w:val="single"/>
        </w:rPr>
        <w:t xml:space="preserve"> </w:t>
      </w:r>
      <w:r>
        <w:rPr>
          <w:u w:val="single"/>
        </w:rPr>
        <w:t xml:space="preserve">RESOLUTION OF DISPUTES BY CONTRACTUAL APPRAISAL PROCESS.  A party must invoke a contractual appraisal process that resolves disputes over the amount of loss not later than the 60th day after the date the party receives or submits, as applicable, written notice of the dispute. The parties may invoke the appraisal process after the period described by this section by mutual agreement in a separate written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16.013,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