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86R19286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limitations periods for certain suits against real estate appraisers and appraisal firms.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16, Civil Practice and Remedies Code, is amended by adding Section 16.013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REAL ESTATE APPRAISERS AND APPRAISAL FIRMS.  (a)  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"Appraisal" has the meaning assigned by Section 1103.003,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"Appraisal review" has the meaning assigned by Section 1104.003, Occupations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appraisal firm"  means an entity engaging a real estate appraiser as an owner, member, shareholder, partner, employee, or independent contractor to perform an appraisal or appraisal review.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"Real estate appraiser" means an individual licensed or certified under Chapter 1103,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suit based on fraud or breach of contract, a person must bring suit for damages or other relief arising from an appraisal or appraisal review conducted by a real estate appraiser or appraisal firm not later than the earlier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years after the day the person knew or should have known the facts on which the action is based;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five years after the day the appraisal or appraisal review was completed.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16.013, Civil Practice and Remedies Code, as added by this Act, applies only to a cause of action that accrues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