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86R4658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public and private institutions of higher education provide certain cost and employment opportunity data for degree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51.9747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51.9747.</w:t>
      </w:r>
      <w:r>
        <w:rPr>
          <w:u w:val="single"/>
        </w:rPr>
        <w:t xml:space="preserve"> </w:t>
      </w:r>
      <w:r>
        <w:rPr>
          <w:u w:val="single"/>
        </w:rPr>
        <w:t xml:space="preserve"> </w:t>
      </w:r>
      <w:r>
        <w:rPr>
          <w:u w:val="single"/>
        </w:rPr>
        <w:t xml:space="preserve">DEGREE PROGRAM COST AND EMPLOYMENT OPPORTUNITY DATA.  (a) </w:t>
      </w:r>
      <w:r>
        <w:rPr>
          <w:u w:val="single"/>
        </w:rPr>
        <w:t xml:space="preserve"> </w:t>
      </w:r>
      <w:r>
        <w:rPr>
          <w:u w:val="single"/>
        </w:rPr>
        <w:t xml:space="preserve">In this section,</w:t>
      </w:r>
      <w:r>
        <w:rPr>
          <w:u w:val="single"/>
        </w:rPr>
        <w:t xml:space="preserve"> </w:t>
      </w:r>
      <w:r>
        <w:rPr>
          <w:u w:val="single"/>
        </w:rPr>
        <w:t xml:space="preserve">"institution of higher education" and "private or independent institution of higher education"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degree program offered by an institution of higher education or a private or independent institution of higher education, the institution shall include on the institution's Internet website, in any syllabus for the degree program provided to students or prospective students, and in any marketing or other promotional materials used by the institution for the degree program, a data-based estimate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cost to a student for the degree program, including a description of the historical costs to students for the degree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calendar time for completing the degree program, including historical data for that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employment opportunities available to, and associated returns on a student's investment of money in the degree program by, students who complete the degree program, including historical data for that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may adopt rules as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Each institution of higher education or private or independent institution of higher education shall comply with Section 51.9747, Education Code, as added by this Act, as soon as practicable following the effective date of this Act, but not later than April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