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86R7349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Zerwas, Reynolds, 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of county assistance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387.003(a-1),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district may perform </w:t>
      </w:r>
      <w:r>
        <w:rPr>
          <w:u w:val="single"/>
        </w:rPr>
        <w:t xml:space="preserve">inside or outside</w:t>
      </w:r>
      <w:r>
        <w:t xml:space="preserve"> [</w:t>
      </w:r>
      <w:r>
        <w:rPr>
          <w:strike/>
        </w:rPr>
        <w:t xml:space="preserve">the following functions in</w:t>
      </w:r>
      <w:r>
        <w:t xml:space="preserve">] the district </w:t>
      </w:r>
      <w:r>
        <w:rPr>
          <w:u w:val="single"/>
        </w:rPr>
        <w:t xml:space="preserve">a function that benefits the district and that the county is authorized to perform, including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construction, maintenance, or improvement of roads or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provision of law enforcement and detention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maintenance or improvement of libraries, museums, parks, or other recreational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provision of services that benefit the public health or welfare, including the provision of firefighting and fire prevention services;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promotion of economic development and tourism.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