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86R5913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w:t>
      </w:r>
      <w:r xml:space="preserve">
        <w:t> </w:t>
      </w:r>
      <w:r xml:space="preserve">
        <w:t>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color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designation for an on-duty first responder to carry a handgun, if the license holder received that designation under Section 411.184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ON-DUTY FIRST RESPONDER DESIGNATION.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medical services provider" and "first responder organization" have the meanings assigned by Section 773.003,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means a public safety employee whose duties include responding rapidly to an emergency. </w:t>
      </w:r>
      <w:r>
        <w:rPr>
          <w:u w:val="single"/>
        </w:rPr>
        <w:t xml:space="preserve"> </w:t>
      </w:r>
      <w:r>
        <w:rPr>
          <w:u w:val="single"/>
        </w:rPr>
        <w:t xml:space="preserve">The term includes fire protection personnel and emergency medical services personnel, including a physician who is an emergency medical services medical director.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commissioned law enforcement personnel;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volunteer emergency services personnel, as defined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eligible for an on-duty first responder designation on the first responder's license to carry a handgun under this subchapter if the first responder submits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form provided by the department, a completed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first responder;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successfully completed a course described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fee set by the director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 application form to be used to apply for a designation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 fee in an amount sufficient to cover the cost of issuing licenses bearing a designation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establish minimum standards for a training course for a license holder seeking an on-duty first responder designation, to be taken at the license holder's</w:t>
      </w:r>
      <w:r>
        <w:rPr>
          <w:u w:val="single"/>
        </w:rPr>
        <w:t xml:space="preserve"> </w:t>
      </w:r>
      <w:r>
        <w:rPr>
          <w:u w:val="single"/>
        </w:rPr>
        <w:t xml:space="preserve">expense.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less than 20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methods to conceal a handgun and methods to ensure the secure carrying of a concealed handgun;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 handgun and a list of devices approved for that purpose, for circumstances under which the license holder, while on duty: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required to enter a location where carrying the handgun is prohibited by federal law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chooses not to carry a handgun at a specific location.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grant a designation under this section to a license holder who meets all the eligibility requirements and submits the required application materials and fee under Subsection (b). </w:t>
      </w:r>
      <w:r>
        <w:rPr>
          <w:u w:val="single"/>
        </w:rPr>
        <w:t xml:space="preserve"> </w:t>
      </w:r>
      <w:r>
        <w:rPr>
          <w:u w:val="single"/>
        </w:rPr>
        <w:t xml:space="preserve">Not later than the 60th day after the date of receipt of the application materials and fee, the department shall issue the license with the designation or notify the license holder in writing that the application for the designation was denied.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 license with a designation under this section, the license holder shall return to the department any license that was previously issued to the license holder.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license holder whose fee to apply for a designation under this section is dishonored or reversed may reapply for the designation at any time, provided the fee and an additional charge of $25 are paid by cashier's check or money order made payable to the "Texas Department of Public Safety."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license holder who becomes ineligible for the designation under this section because the license holder is no longer employed as a first responder promptly shall notify the department.  Not later than the 30th day after the date of receipt of the notice, the department shall issue a license without the designation to the license holder.  A license holder who is no longer eligible for a designation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entitled to carry a handgun in a location in which the license holder was allowed to carry the handgun only by virtue of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receipt of the license without the designation, promptly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designation under this section does not limit the right of a first responder to carry a handgun or other weapon under other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by rule shall approve devices to enable a first responder to secure a handgun if the first responder, while on duty: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enter a location where carrying the handgun is prohibited by federal law or otherwise;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chooses not to carry a handgun at a specific location.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governmental entity, emergency medical services provider, or first responder organization that employs or otherwise supervises first responders may not adopt a rule or regulation that prohibits a first responder who holds a license bearing a designation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operated by the entity, provider, or organization if the handgun is secured with a device approved by the department under Subsection (j).</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does not create a cause of action or liability.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governmental entity, emergency medical services provider, or first responder organization that employs first responders is not liable in a civil action arising from the discharge of a handgun by a first responder who is licensed to carry a handgun under this subchapter, provided that the entity, provider, or organization reasonably provides for the safety of the first responders.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first responder may discharge a handgun while on duty only under circumstances in which the first responder would be justified in using deadly force under Section 9.32 or 9.33, Penal Code.  This subsection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cause of action against a first responder for failure to discharge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liability of a first responder who improperly discharges a firearm.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Notwithstanding Subsection (n), the discharge of a handgun by a first responder who is licensed to carry a handgun under this subchapter is outside the course and scope of the first responder's duties.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may not be construed to waive the immunity from suit or liability of a governmental entity, emergency medical services provider, or first responder organization that employs or otherwise supervises first responders under Chapter 101, Civil Practice and Remedies Code, or any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30.06(f),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license holder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volunteer emergency services personnel, as defined by Section 46.01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first responder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carrying a concealed handgun and holds a license to carry a handgun under Subchapter H, Chapter 411, Government Code, that bears an on-duty first responder designation under Section 411.184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engaged in the actual discharge of the first responder's duties while carrying the concealed handgun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46.035(m), Penal Code, is amended to read as follows:</w:t>
      </w:r>
    </w:p>
    <w:p w:rsidR="003F3435" w:rsidRDefault="0032493E">
      <w:pPr>
        <w:spacing w:line="480" w:lineRule="auto"/>
        <w:ind w:firstLine="720"/>
        <w:jc w:val="both"/>
      </w:pPr>
      <w:r>
        <w:t xml:space="preserve">(m)</w:t>
      </w:r>
      <w:r xml:space="preserve">
        <w:t> </w:t>
      </w:r>
      <w:r xml:space="preserve">
        <w:t> </w:t>
      </w:r>
      <w:r>
        <w:t xml:space="preserve">It is a defense to prosecution under Subsections (b) and (c) that the actor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volunteer emergency services personnel engaged in providing emergency services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first responder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carrying a concealed handgun and holds a license to carry a handgun under Subchapter H, Chapter 411, Government Code, that bears an on-duty first responder designation under Section 411.184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engaged in the actual discharge of the first responder's duties while carrying the concealed handgun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first responder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carrying a concealed handgun and holds a license to carry a handgun under Subchapter H, Chapter 411, Government Code, that bears an on-duty first responder designation under Section 411.184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engaged in the actual discharge of the first responder's duties while carrying the concealed handgun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A qualified handgun instructor may not offer the training course described by Section 411.184(d), Government Code, as added by this Act, before January 1, 2020.</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in amending Sections 46.035 and 46.15, Penal Code, applies only to an offense committed on or after January 1, 2020. </w:t>
      </w:r>
      <w:r>
        <w:t xml:space="preserve"> </w:t>
      </w:r>
      <w:r>
        <w:t xml:space="preserve">An offense committed before January 1, 2020, is governed by the law in effect on the date the offense was committed, and the former law is continued in effect for that purpose. </w:t>
      </w:r>
      <w:r>
        <w:t xml:space="preserve"> </w:t>
      </w:r>
      <w:r>
        <w:t xml:space="preserve">For purposes of this section, an offense was committed before January 1, 2020,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