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86R4923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et al.</w:t>
      </w:r>
      <w:r xml:space="preserve">
        <w:tab wTab="150" tlc="none" cTlc="0"/>
      </w:r>
      <w:r>
        <w:t xml:space="preserve">H.B.</w:t>
      </w:r>
      <w:r xml:space="preserve">
        <w:t> </w:t>
      </w:r>
      <w:r>
        <w:t xml:space="preserve">No.</w:t>
      </w:r>
      <w:r xml:space="preserve">
        <w:t> </w:t>
      </w:r>
      <w:r>
        <w:t xml:space="preserve">1126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certain businesses in connection with allowing concealed handguns on the business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95A to read as follows:</w:t>
      </w:r>
    </w:p>
    <w:p w:rsidR="003F3435" w:rsidRDefault="0032493E">
      <w:pPr>
        <w:spacing w:line="480" w:lineRule="auto"/>
        <w:jc w:val="center"/>
      </w:pPr>
      <w:r>
        <w:rPr>
          <w:u w:val="single"/>
        </w:rPr>
        <w:t xml:space="preserve">CHAPTER 95A.  LIABILITY OF BUSINESS IN CONNECTION WITH ALLOWING CONCEALED HANDGUNS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95A.001.</w:t>
      </w:r>
      <w:r>
        <w:rPr>
          <w:u w:val="single"/>
        </w:rPr>
        <w:t xml:space="preserve"> </w:t>
      </w:r>
      <w:r>
        <w:rPr>
          <w:u w:val="single"/>
        </w:rPr>
        <w:t xml:space="preserve"> </w:t>
      </w:r>
      <w:r>
        <w:rPr>
          <w:u w:val="single"/>
        </w:rPr>
        <w:t xml:space="preserve">DEFINITION.  In this chapter, "license holder" means a person licensed to carry a handgun under Subchapter H, Chapter 411,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95A.002.</w:t>
      </w:r>
      <w:r>
        <w:rPr>
          <w:u w:val="single"/>
        </w:rPr>
        <w:t xml:space="preserve"> </w:t>
      </w:r>
      <w:r>
        <w:rPr>
          <w:u w:val="single"/>
        </w:rPr>
        <w:t xml:space="preserve"> </w:t>
      </w:r>
      <w:r>
        <w:rPr>
          <w:u w:val="single"/>
        </w:rPr>
        <w:t xml:space="preserve">IMMUNITY OF BUSINESS THAT ALLOWS CONCEALED HANDGUNS.  A person with control over the premises of a business who allows entry on the premises by a license holder with a concealed handgun is not liable based solely on that permission for damages arising from the lawful carrying of a concealed handgun on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95A.003.</w:t>
      </w:r>
      <w:r>
        <w:rPr>
          <w:u w:val="single"/>
        </w:rPr>
        <w:t xml:space="preserve"> </w:t>
      </w:r>
      <w:r>
        <w:rPr>
          <w:u w:val="single"/>
        </w:rPr>
        <w:t xml:space="preserve"> </w:t>
      </w:r>
      <w:r>
        <w:rPr>
          <w:u w:val="single"/>
        </w:rPr>
        <w:t xml:space="preserve">ORAL OR WRITTEN COMMUNICATION.  For purposes of this chapter, the lack of an oral or written communication that constitutes notice for purposes of Section 30.06, Penal Code, is sufficient to constitute allowing entry on the premises by a license holder with a concealed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95A.002,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