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86R1314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1129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money in the Texas economic development fund or the Texas Enterprise Fund to finance a facility or establishment at which gambling is to be conducted.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12.0273, Agriculture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Money in the fund may not be used to finance a facility or establishment at which gambling is to be conducted.  The term "gambling" includes playing bingo for a prize and wagering on greyhound or horse races.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481.078, Government Code, is amended by adding Subsection (e-2)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governor may not award a grant to an entity to finance a facility or establishment at which gambling is to be conducted. The term "gambling" includes playing bingo for a prize and wagering on greyhound or horse races.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loan or grant made on or after the effective date of this Act.  A loan or grant made before the effective date of this Act is governed by the law in effect on the date the loan or grant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