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86R13212 SMT-D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Price, Smithee, King of Hemphill,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1135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Springer, Krause, et al.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1135: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Button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1135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common characteristic or use project in a public improvement district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372.0035(a),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has a population of more than 650,000 and less than two million;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 population of more than 325,000 and less than 625,000;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population of more than 180,000 and less than 200,000;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public improvement district established under this subchapter and solely composed of territory in which the only businesses are: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hotels with 100 or more rooms ordinarily used for sleeping, if the district is established by a municipality described by Subdivision (1)(A);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hotels with 75 or more rooms ordinarily used for sleeping, if the district is established by a municipality described by Subdivision (1)(B)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hotels with 10 or more rooms ordinarily used for sleeping, if the district is established by a municipality described by Subdivision (1)(C)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1135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