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1136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Intergovernmental Relations; May</w:t>
      </w:r>
      <w:r xml:space="preserve">
        <w:t> </w:t>
      </w:r>
      <w:r>
        <w:t xml:space="preserve">13,</w:t>
      </w:r>
      <w:r xml:space="preserve">
        <w:t> </w:t>
      </w:r>
      <w:r>
        <w:t xml:space="preserve">2019, reported favorably by the following vote:</w:t>
      </w:r>
      <w:r>
        <w:t xml:space="preserve"> </w:t>
      </w:r>
      <w:r>
        <w:t xml:space="preserve"> </w:t>
      </w:r>
      <w:r>
        <w:t xml:space="preserve">Yeas 6,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territory included in a common characteristic or use project in a public improvement district established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372.0035, Local Government Code, is amended to read as follows:</w:t>
      </w:r>
    </w:p>
    <w:p w:rsidR="003F3435" w:rsidRDefault="0032493E">
      <w:pPr>
        <w:spacing w:line="480" w:lineRule="auto"/>
        <w:ind w:firstLine="720"/>
        <w:jc w:val="both"/>
      </w:pPr>
      <w:r>
        <w:t xml:space="preserve">Sec.</w:t>
      </w:r>
      <w:r xml:space="preserve">
        <w:t> </w:t>
      </w:r>
      <w:r>
        <w:t xml:space="preserve">372.0035.</w:t>
      </w:r>
      <w:r xml:space="preserve">
        <w:t> </w:t>
      </w:r>
      <w:r xml:space="preserve">
        <w:t> </w:t>
      </w:r>
      <w:r>
        <w:t xml:space="preserve">COMMON CHARACTERISTIC OR USE FOR PROJECTS IN [</w:t>
      </w:r>
      <w:r>
        <w:rPr>
          <w:strike/>
        </w:rPr>
        <w:t xml:space="preserve">CERTAIN</w:t>
      </w:r>
      <w:r>
        <w:t xml:space="preserve">]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372.0035, Local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municipality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a population of more than 650,000 and less than two million;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 population of more than 325,000 and less than 625,000;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public improvement district established </w:t>
      </w:r>
      <w:r>
        <w:rPr>
          <w:u w:val="single"/>
        </w:rPr>
        <w:t xml:space="preserve">by a municipality</w:t>
      </w:r>
      <w:r>
        <w:t xml:space="preserve"> under this subchapter and solely composed of territory in which the only businesses are </w:t>
      </w:r>
      <w:r>
        <w:rPr>
          <w:u w:val="single"/>
        </w:rPr>
        <w:t xml:space="preserve">one or more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hotels [</w:t>
      </w:r>
      <w:r>
        <w:rPr>
          <w:strike/>
        </w:rPr>
        <w:t xml:space="preserve">with 100 or more rooms ordinarily used for sleeping, if the district is established by a municipality described by Subdivision (1)(A);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hotels with 75 or more rooms ordinarily used for sleeping, if the district is established by a municipality described by Subdivision (1)(B)</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created after September 1, 2019, may undertake a project under this section only for advertising, promotion, or business recruitment, as authorized by Section 372.003(b)(13), directly related to hotels.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372.005(b-1),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w:t>
      </w:r>
      <w:r>
        <w:rPr>
          <w:u w:val="single"/>
        </w:rPr>
        <w:t xml:space="preserve">372.0035(a)</w:t>
      </w:r>
      <w:r>
        <w:t xml:space="preserve"> [</w:t>
      </w:r>
      <w:r>
        <w:rPr>
          <w:strike/>
        </w:rPr>
        <w:t xml:space="preserve">372.0035(a)(2)</w:t>
      </w:r>
      <w:r>
        <w:t xml:space="preserve">]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372, Local Government Code, is amended by adding Section 372.0121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372.0121.</w:t>
      </w:r>
      <w:r>
        <w:rPr>
          <w:u w:val="single"/>
        </w:rPr>
        <w:t xml:space="preserve"> </w:t>
      </w:r>
      <w:r>
        <w:rPr>
          <w:u w:val="single"/>
        </w:rPr>
        <w:t xml:space="preserve"> </w:t>
      </w:r>
      <w:r>
        <w:rPr>
          <w:u w:val="single"/>
        </w:rPr>
        <w:t xml:space="preserve">INCLUSION OF AREA IN COMMON CHARACTERISTIC PUBLIC IMPROVEMENT DISTRICT.  Notwithstanding Section 372.012 or any other requirement in this chapter, the governing body of a municipality may include property in a public improvement district described by Section 372.0035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a hotel;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could have been included in the district without violating Section 372.005(b-1) when the district was created regardless of whether the record owners of the property signed the original petition.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