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1139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Miles, West)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1139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applicability of the death penalty to a capital offense committed by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1, Code of Criminal Procedure, is amended by adding Chapter 46E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46E. CAPITAL CASE:  EFFECT OF INTELLECTUAL DISABILITY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46E.001.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DEATH PENALTY.  A defendant who is a person with an intellectual disability may not be sentenced to death.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46E.002.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PREVAILING MEDICAL STANDARDS.  Evidence offered by either party for purposes of determining whether a defendant is a person with an intellectual disability must be consistent with prevailing medical standards for the diagnosis of intellectual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trial that commences on or after the effective date of this Act, regardless of whether the alleged offense was committed before, on,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