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86R8466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et al.</w:t>
      </w:r>
      <w:r xml:space="preserve">
        <w:tab wTab="150" tlc="none" cTlc="0"/>
      </w:r>
      <w:r>
        <w:t xml:space="preserve">H.B.</w:t>
      </w:r>
      <w:r xml:space="preserve">
        <w:t> </w:t>
      </w:r>
      <w:r>
        <w:t xml:space="preserve">No.</w:t>
      </w:r>
      <w:r xml:space="preserve">
        <w:t> </w:t>
      </w:r>
      <w:r>
        <w:t xml:space="preserve">1143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transportation or storage of a handgun or other firearm or ammunition by a handgun license holder in a school parking area.</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37.0815(a),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not prohibit a person, including a school employee, who holds a license to carry a handgun under Subchapter H, Chapter 411, Government Code, from transporting or storing a handgun or other firearm or ammunition in a locked, privately owned or leased motor vehicle in a parking lot, parking garage, or other parking area provided by the district or charter school </w:t>
      </w:r>
      <w:r>
        <w:rPr>
          <w:u w:val="single"/>
        </w:rPr>
        <w:t xml:space="preserve">and may not regulate the manner in which the handgun, firearm, or ammunition is stored in the vehicle</w:t>
      </w:r>
      <w:r>
        <w:t xml:space="preserve">, provided that the handgun, firearm, or ammunition is not in plain 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