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86R5073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authorizing and increasing criminal fines; eliminating program surcharges.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xml:space="preserve">
        <w:rPr>
          <w:strike/>
        </w:rPr>
        <w:t>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709.003,</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$60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2.5</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58.5</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41.5</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58.5</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during the preceding 36-month period has been finally convicted of an offense relating to the operating of a motor vehicle while intoxicated shall pay a fine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fine under this section is $1,000 per year, except that the amount of the fine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$1,500 per year for a second or subsequent conviction within a 36-month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TRAFFIC FINE FOR CONVICTION OF DRIVING WITHOUT FINANCIAL RESPONSIBILITY.  (a)  In addition to the fine prescribed under Section 601.191, a person who during the preceding 36-month period has been convicted of an offense under Section 601.191 shall pay a fine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amount of a fine under this section is $250 per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fine under this section is $125 per year if the person establishes financial responsibility under Section 601.051 not later than the 60th day after the date of the offense through a motor vehicle liability insurance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Subchapter D, Chapter 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prepaid and valid for at least a six-month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709.003.</w:t>
      </w:r>
      <w:r>
        <w:rPr>
          <w:u w:val="single"/>
        </w:rPr>
        <w:t xml:space="preserve"> </w:t>
      </w:r>
      <w:r>
        <w:rPr>
          <w:u w:val="single"/>
        </w:rPr>
        <w:t xml:space="preserve"> </w:t>
      </w:r>
      <w:r>
        <w:rPr>
          <w:u w:val="single"/>
        </w:rPr>
        <w:t xml:space="preserve">REMITTANCE OF TRAFFIC FINES COLLECTED TO COMPTROLLER.  (a) An officer collecting a traffic fine under Section 709.002 in a case in municipal court shall keep separate records of the money collected and shall deposit the money in the municipal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traffic fine under Section 709.001 or 709.002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calendar quarter, an officer collecting a traffic fine under Section 709.001 or 709.002 shall submit a report to the comptroller. The report must comply with Articles 103.005(c) and (d),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custodian of money in a municipal or county treasury may deposit money collected under Sections 709.001 and 709.002 in an interest-bearing account. 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or county may retain 2.5 percent of the money collected under Sections 709.001 and 709.002 as a service fee for the collection if the county remits the funds to the comptroller within the period described by Subsection (d).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money remitted to the comptroller under this section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Money collected under this section is subject to audit by the comptroller. Money spent is subject to audit by the state auditor.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