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86R26683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Thompson of Harris, Klick,</w:t>
      </w:r>
      <w:r xml:space="preserve">
        <w:tab wTab="150" tlc="none" cTlc="0"/>
      </w:r>
      <w:r>
        <w:t xml:space="preserve">H.B.</w:t>
      </w:r>
      <w:r xml:space="preserve">
        <w:t> </w:t>
      </w:r>
      <w:r>
        <w:t xml:space="preserve">No.</w:t>
      </w:r>
      <w:r xml:space="preserve">
        <w:t> </w:t>
      </w:r>
      <w:r>
        <w:t xml:space="preserve">1146</w:t>
      </w:r>
    </w:p>
    <w:p w:rsidR="003F3435" w:rsidRDefault="0032493E">
      <w:pPr>
        <w:jc w:val="both"/>
      </w:pPr>
      <w:r xml:space="preserve">
        <w:t> </w:t>
      </w:r>
      <w:r xml:space="preserve">
        <w:t> </w:t>
      </w:r>
      <w:r xml:space="preserve">
        <w:t> </w:t>
      </w:r>
      <w:r xml:space="preserve">
        <w:t> </w:t>
      </w:r>
      <w:r xml:space="preserve">
        <w:t> </w:t>
      </w:r>
      <w:r>
        <w:t xml:space="preserve">Zerwas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1146: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EMPLOYEES OF HEALTH CARE FACILITIES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and implementing a facility's workplace violence prevention plan under Section 331.0002.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and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provider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certified by the commission to provide services through the home and community-based services or Texas home living Medicaid waiver programs;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employs at least two registered nurses;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hospital licensed under Chapter 241, including a hospital maintained or operated by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committee to develop and implement the workplace violence prevention plan required under Section 331.0004.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employee of the facility who provides security services for the facility if the facility employs security personnel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the facility's existing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facility's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facility's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331.0004.</w:t>
      </w:r>
      <w:r>
        <w:rPr>
          <w:u w:val="single"/>
        </w:rPr>
        <w:t xml:space="preserve"> </w:t>
      </w:r>
      <w:r>
        <w:rPr>
          <w:u w:val="single"/>
        </w:rPr>
        <w:t xml:space="preserve"> </w:t>
      </w:r>
      <w:r>
        <w:rPr>
          <w:u w:val="single"/>
        </w:rPr>
        <w:t xml:space="preserve">WORKPLACE VIOLENCE PREVENTION PLAN.  (a)  The committee of a facility or health care system, as applicable, shall adopt, implement, and enforce a written workplace violence prevention plan in accordance with this section to protect health care providers and employees from violent behavior and threats of violent behavior occurring at the facility or each facility of the health care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 facility provide at least annually workplace violence prevention training or education that may be included in other required training or education to the facility's health care providers and employees, including temporary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include processes to adjust patient care assignments, to the extent practicable, to prevent a health care provider or employee of the facility from being required to treat or provide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adopted under Subsection (a)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adopted by the committee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described by Subdivision (1) to the governing body of the facility or health care system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unless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the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331.0006.</w:t>
      </w:r>
      <w:r>
        <w:rPr>
          <w:u w:val="single"/>
        </w:rPr>
        <w:t xml:space="preserve"> </w:t>
      </w:r>
      <w:r>
        <w:rPr>
          <w:u w:val="single"/>
        </w:rPr>
        <w:t xml:space="preserve"> </w:t>
      </w:r>
      <w:r>
        <w:rPr>
          <w:u w:val="single"/>
        </w:rPr>
        <w:t xml:space="preserve">ENFORCEMENT.  An appropriate licensing agency may take disciplinary action against a person who violates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a facility subject to Chapter 331, Health and Safety Code, as added by this Act, shall adopt and implement a workplace violence prevention plan in accordance with Section 331.0004,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