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Railroad Commission of Texas require the installation and use of subsurface safety valves on oil and gas wells drilled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 91.1016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91.1016.</w:t>
      </w:r>
      <w:r>
        <w:rPr>
          <w:u w:val="single"/>
        </w:rPr>
        <w:t xml:space="preserve"> </w:t>
      </w:r>
      <w:r>
        <w:rPr>
          <w:u w:val="single"/>
        </w:rPr>
        <w:t xml:space="preserve"> </w:t>
      </w:r>
      <w:r>
        <w:rPr>
          <w:u w:val="single"/>
        </w:rPr>
        <w:t xml:space="preserve">SUBSURFACE SAFETY VALVES IN CERTAIN AREAS.  (a) To prevent spills or releases of oil, gas, and related hydrocarbons, the commission by rule shall require the installation and use of subsurface safety valves in oil and gas wells drilled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bays and estuaries;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zones, particularly areas adjacent to rivers or other bodies of water;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areas subject to hurricanes or other catastrophic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determine whether a subsurface safety valve installed in an oil or gas well is working properly, the commission may inspect the valve or require the operator of the well to submit to the commission information about the valve.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oil or gas well for which the application for the drilling permit is submitted to the Railroad Commission of Texas on or after the effective date of the rules adopted under Section 91.1016, Natural Resources Code, as added by this Act.  A well for which the application for the drilling permit is submitted before the date the rules take effect is governed by the law in effect when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