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86R8109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1155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attorney's fees and court costs awarded in certain actions involving the unlawful waste or diversion of 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11.086(b), Water Code, is amended to read as follows:</w:t>
      </w:r>
    </w:p>
    <w:p w:rsidR="003F3435" w:rsidRDefault="0032493E">
      <w:pPr>
        <w:spacing w:line="480" w:lineRule="auto"/>
        <w:ind w:firstLine="720"/>
        <w:jc w:val="both"/>
      </w:pPr>
      <w:r>
        <w:t xml:space="preserve">(b)</w:t>
      </w:r>
      <w:r xml:space="preserve">
        <w:t> </w:t>
      </w:r>
      <w:r xml:space="preserve">
        <w:t> </w:t>
      </w:r>
      <w:r>
        <w:t xml:space="preserve">A person whose property is injured by an overflow of water caused by an unlawful diversion or impounding has remedies at law and in equity and may recover damages occasioned by the overflow.  </w:t>
      </w:r>
      <w:r>
        <w:rPr>
          <w:u w:val="single"/>
        </w:rPr>
        <w:t xml:space="preserve">The prevailing party in a suit filed to recover relief for a violation of this section is entitled to recover reasonable attorney's fees and court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