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available to school districts to provide services to students residing in care and treatment facilities and residential placement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29.0181.</w:t>
      </w:r>
      <w:r>
        <w:rPr>
          <w:u w:val="single"/>
        </w:rPr>
        <w:t xml:space="preserve"> </w:t>
      </w:r>
      <w:r>
        <w:rPr>
          <w:u w:val="single"/>
        </w:rPr>
        <w:t xml:space="preserve"> </w:t>
      </w:r>
      <w:r>
        <w:rPr>
          <w:u w:val="single"/>
        </w:rPr>
        <w:t xml:space="preserve">GRANT PROGRAM TO EDUCATE STUDENTS RESIDING IN CARE AND TREATMENT FACILITIES AND RESIDENTIAL PLACEMENT FACILITIES.  (a)  This section applies to a student residing in a care and treatment facility, other than a state school, or residential placement facility whose parent or person standing in parental relation to the student does not reside in the school district providing education services to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for the purposes of this section, federal funds, or any other funds available, the commissioner shall make grants available to school districts to assist districts in covering the cost of educating students residing in care and treatment facilities or residential placement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eligible to apply for a grant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does not receive sufficient funds, including state funds provided under Sections 42.151 and 42.152 and federal funds, for a student residing in a care and treatment facility or residential placement facility to pay for the education services provided to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does not receive sufficient funds, including state funds provided under Sections 42.151 and 42.152 and federal funds, for all students in the district residing in care and treatment facilities or residential placement facilities to pay for the education services provided to the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applies for a grant under this section must provide the commissioner with a report comparing the state and federal funds received by the district for students residing in care and treatment facilities and residential placement facilities with the expenses incurred by the district in providing education services to students residing in care and treatment facilities and residential placement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Expenses that may be included by a school district in applying for a grant under this section include the cost of training personnel to provide education services to a student residing in a care and treatment facility or a residential placement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that receives a grant under this section must educate students residing in care and treatment facilities and residential placement facilities in the least restrictive environment that is appropriate to meet the student's educational needs.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