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involving the carrying of handguns by license holders on the premises or property of certain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w:t>
      </w:r>
    </w:p>
    <w:p w:rsidR="003F3435" w:rsidRDefault="0032493E">
      <w:pPr>
        <w:spacing w:line="480" w:lineRule="auto"/>
        <w:ind w:firstLine="1440"/>
        <w:jc w:val="both"/>
      </w:pPr>
      <w:r>
        <w:t xml:space="preserve">(6)</w:t>
      </w:r>
      <w:r xml:space="preserve">
        <w:t> </w:t>
      </w:r>
      <w:r xml:space="preserve">
        <w:t> </w:t>
      </w:r>
      <w:r>
        <w:t xml:space="preserve">on the premises of a church, synagogue, or other established place of religious worship;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 the premises of a civil commitment facility</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regardless of whether the facility is enclosed and if the facility is not a premises on which an event is occurring as described by Subdivision (2), on the premises or property of an indoor or outdoor arena, stadium, golf course, automobile racetrack, amphitheater, auditorium, theater, museum, zoo, botanical garden, civic center, or convention center, unless the license holder is a participant in an event conducted at the facility and a handgun is used in the event</w:t>
      </w:r>
      <w:r>
        <w:t xml:space="preserve">.</w:t>
      </w:r>
    </w:p>
    <w:p w:rsidR="003F3435" w:rsidRDefault="0032493E">
      <w:pPr>
        <w:spacing w:line="480" w:lineRule="auto"/>
        <w:ind w:firstLine="720"/>
        <w:jc w:val="both"/>
      </w:pPr>
      <w:r>
        <w:t xml:space="preserve">(i)</w:t>
      </w:r>
      <w:r xml:space="preserve">
        <w:t> </w:t>
      </w:r>
      <w:r xml:space="preserve">
        <w:t> </w:t>
      </w:r>
      <w:r>
        <w:t xml:space="preserve">Subsections (b)(4), (b)(5), (b)(6), </w:t>
      </w:r>
      <w:r>
        <w:rPr>
          <w:u w:val="single"/>
        </w:rPr>
        <w:t xml:space="preserve">(b)(8),</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