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1177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8, Nays 1;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1177</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carrying a concealed handgun following a mandatory evacuation order issued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Section 46.02 does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in a concealed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carries the handgun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evacuating from an area following a mandatory evacuation order issued during a state of disaster declared under Section 418.014, Government Code, or a local state of disaster declared under Section 418.108, Government Code, with respect to that area;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reentering that area following the person's evacuation;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48 hours have elapsed since the mandatory evacuation order was issued, or more than 48 hours have elapsed since the mandatory evacuation order was issued and the governor has extended the period during which a person may carry a concealed handgun;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purposes of Subsection (k), "evacuating" means the immediate and urgent movement of a person away from an area that is subject to an evacuation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