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86R17617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Schaefer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1180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agreement requirements for receiving a scholarship under the Texas Armed Services Scholarship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61.9773, Education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agreement under this section must allow a student, on completion of an undergraduate degree program and before entering into a commitment or contract for military service described by Subsection (a)(3), to complete a graduate or postgraduate degree program at a public or private institution of higher education in this state.  The board shall adopt rules for the administration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Texas Higher Education Coordinating Board shall adopt rules for the administration of Section 61.9773(a-1), Education Code, as added by this Act, as soon as practicable after this Act takes effect.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1180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