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86R292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Confederate Heroes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1.006(f)(2),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"State holiday"</w:t>
      </w:r>
      <w:r>
        <w:t xml:space="preserve"> </w:t>
      </w:r>
      <w:r>
        <w:t xml:space="preserve">means a state holiday under Sections 662.003(b)(1) through </w:t>
      </w:r>
      <w:r>
        <w:rPr>
          <w:u w:val="single"/>
        </w:rPr>
        <w:t xml:space="preserve">(5)</w:t>
      </w:r>
      <w:r>
        <w:t xml:space="preserve"> </w:t>
      </w:r>
      <w:r>
        <w:t xml:space="preserve">[</w:t>
      </w:r>
      <w:r>
        <w:rPr>
          <w:strike/>
        </w:rPr>
        <w:t xml:space="preserve">(6)</w:t>
      </w:r>
      <w:r>
        <w:t xml:space="preserve">],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the 24th day of December;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the 26th day of December.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 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</w:t>
      </w:r>
      <w:r>
        <w:rPr>
          <w:u w:val="single"/>
        </w:rPr>
        <w:t xml:space="preserve">(5)</w:t>
      </w:r>
      <w:r>
        <w:t xml:space="preserve"> </w:t>
      </w:r>
      <w:r>
        <w:t xml:space="preserve">[</w:t>
      </w:r>
      <w:r>
        <w:rPr>
          <w:strike/>
        </w:rPr>
        <w:t xml:space="preserve">(6)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